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6569" w14:textId="77777777" w:rsidR="008C6BC5" w:rsidRPr="001927CF" w:rsidRDefault="008C6BC5" w:rsidP="001927CF">
      <w:pPr>
        <w:spacing w:line="276" w:lineRule="auto"/>
        <w:rPr>
          <w:rFonts w:ascii="Verdana" w:hAnsi="Verdana"/>
        </w:rPr>
      </w:pPr>
    </w:p>
    <w:p w14:paraId="0AE3EF91" w14:textId="44B01480" w:rsidR="008C6BC5" w:rsidRPr="001927CF" w:rsidRDefault="00250F8D" w:rsidP="001927CF">
      <w:pPr>
        <w:spacing w:line="276" w:lineRule="auto"/>
        <w:rPr>
          <w:rFonts w:ascii="Verdana" w:hAnsi="Verdana"/>
        </w:rPr>
      </w:pPr>
      <w:r w:rsidRPr="001927CF">
        <w:rPr>
          <w:rFonts w:ascii="Verdana" w:hAnsi="Verdana"/>
          <w:noProof/>
        </w:rPr>
        <w:drawing>
          <wp:inline distT="0" distB="0" distL="0" distR="0" wp14:anchorId="320F5183" wp14:editId="5385F238">
            <wp:extent cx="5731510" cy="1824990"/>
            <wp:effectExtent l="0" t="0" r="0" b="3810"/>
            <wp:docPr id="1804471939" name="Picture 1" descr="The History UK logo with the tag line Working for historians working in higher education and the website address www.history-uk.ac.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471939" name="Picture 1" descr="The History UK logo with the tag line Working for historians working in higher education and the website address www.history-uk.ac.uk "/>
                    <pic:cNvPicPr/>
                  </pic:nvPicPr>
                  <pic:blipFill>
                    <a:blip r:embed="rId8"/>
                    <a:stretch>
                      <a:fillRect/>
                    </a:stretch>
                  </pic:blipFill>
                  <pic:spPr>
                    <a:xfrm>
                      <a:off x="0" y="0"/>
                      <a:ext cx="5731510" cy="1824990"/>
                    </a:xfrm>
                    <a:prstGeom prst="rect">
                      <a:avLst/>
                    </a:prstGeom>
                  </pic:spPr>
                </pic:pic>
              </a:graphicData>
            </a:graphic>
          </wp:inline>
        </w:drawing>
      </w:r>
    </w:p>
    <w:p w14:paraId="42937064" w14:textId="77777777" w:rsidR="008C6BC5" w:rsidRDefault="008C6BC5" w:rsidP="001927CF">
      <w:pPr>
        <w:spacing w:line="276" w:lineRule="auto"/>
        <w:rPr>
          <w:rFonts w:ascii="Verdana" w:hAnsi="Verdana"/>
        </w:rPr>
      </w:pPr>
    </w:p>
    <w:p w14:paraId="0F2CF0AB" w14:textId="77777777" w:rsidR="00C02710" w:rsidRPr="001927CF" w:rsidRDefault="00C02710" w:rsidP="001927CF">
      <w:pPr>
        <w:spacing w:line="276" w:lineRule="auto"/>
        <w:rPr>
          <w:rFonts w:ascii="Verdana" w:hAnsi="Verdana"/>
        </w:rPr>
      </w:pPr>
    </w:p>
    <w:p w14:paraId="4FD9CB99" w14:textId="71649960" w:rsidR="00F6299A" w:rsidRPr="001927CF" w:rsidRDefault="1572207E" w:rsidP="0B4088E5">
      <w:pPr>
        <w:spacing w:line="276" w:lineRule="auto"/>
        <w:jc w:val="center"/>
        <w:rPr>
          <w:rFonts w:ascii="Verdana" w:hAnsi="Verdana"/>
          <w:sz w:val="96"/>
          <w:szCs w:val="96"/>
        </w:rPr>
      </w:pPr>
      <w:r w:rsidRPr="0B4088E5">
        <w:rPr>
          <w:rFonts w:ascii="Verdana" w:hAnsi="Verdana"/>
          <w:sz w:val="96"/>
          <w:szCs w:val="96"/>
        </w:rPr>
        <w:t>History, Pedagogy</w:t>
      </w:r>
    </w:p>
    <w:p w14:paraId="08D7E7A4" w14:textId="3B5CEE30" w:rsidR="00F6299A" w:rsidRPr="001927CF" w:rsidRDefault="1572207E" w:rsidP="0B4088E5">
      <w:pPr>
        <w:spacing w:line="276" w:lineRule="auto"/>
        <w:jc w:val="center"/>
        <w:rPr>
          <w:rFonts w:ascii="Verdana" w:hAnsi="Verdana"/>
          <w:sz w:val="96"/>
          <w:szCs w:val="96"/>
        </w:rPr>
      </w:pPr>
      <w:r w:rsidRPr="0B4088E5">
        <w:rPr>
          <w:rFonts w:ascii="Verdana" w:hAnsi="Verdana"/>
          <w:sz w:val="96"/>
          <w:szCs w:val="96"/>
        </w:rPr>
        <w:t xml:space="preserve">and </w:t>
      </w:r>
      <w:r w:rsidR="5386B950" w:rsidRPr="0B4088E5">
        <w:rPr>
          <w:rFonts w:ascii="Verdana" w:hAnsi="Verdana"/>
          <w:sz w:val="96"/>
          <w:szCs w:val="96"/>
        </w:rPr>
        <w:t>EDI</w:t>
      </w:r>
    </w:p>
    <w:p w14:paraId="23B233BE" w14:textId="001D66F5" w:rsidR="00250F8D" w:rsidRPr="001927CF" w:rsidRDefault="00D715BB" w:rsidP="0B4088E5">
      <w:pPr>
        <w:spacing w:line="276" w:lineRule="auto"/>
        <w:jc w:val="center"/>
        <w:rPr>
          <w:rFonts w:ascii="Verdana" w:hAnsi="Verdana"/>
          <w:sz w:val="96"/>
          <w:szCs w:val="96"/>
        </w:rPr>
      </w:pPr>
      <w:r>
        <w:rPr>
          <w:rFonts w:ascii="Verdana" w:hAnsi="Verdana"/>
          <w:sz w:val="96"/>
          <w:szCs w:val="96"/>
        </w:rPr>
        <w:t>P</w:t>
      </w:r>
      <w:r w:rsidR="5386B950" w:rsidRPr="0B4088E5">
        <w:rPr>
          <w:rFonts w:ascii="Verdana" w:hAnsi="Verdana"/>
          <w:sz w:val="96"/>
          <w:szCs w:val="96"/>
        </w:rPr>
        <w:t xml:space="preserve">roject </w:t>
      </w:r>
      <w:r>
        <w:rPr>
          <w:rFonts w:ascii="Verdana" w:hAnsi="Verdana"/>
          <w:sz w:val="96"/>
          <w:szCs w:val="96"/>
        </w:rPr>
        <w:t>R</w:t>
      </w:r>
      <w:r w:rsidR="5386B950" w:rsidRPr="0B4088E5">
        <w:rPr>
          <w:rFonts w:ascii="Verdana" w:hAnsi="Verdana"/>
          <w:sz w:val="96"/>
          <w:szCs w:val="96"/>
        </w:rPr>
        <w:t>eport</w:t>
      </w:r>
    </w:p>
    <w:p w14:paraId="439B05FC" w14:textId="77777777" w:rsidR="008C6BC5" w:rsidRDefault="008C6BC5" w:rsidP="001927CF">
      <w:pPr>
        <w:spacing w:line="276" w:lineRule="auto"/>
        <w:rPr>
          <w:rFonts w:ascii="Verdana" w:hAnsi="Verdana"/>
        </w:rPr>
      </w:pPr>
    </w:p>
    <w:p w14:paraId="31BF5A81" w14:textId="77777777" w:rsidR="004E057D" w:rsidRDefault="004E057D" w:rsidP="001927CF">
      <w:pPr>
        <w:spacing w:line="276" w:lineRule="auto"/>
        <w:rPr>
          <w:rFonts w:ascii="Verdana" w:hAnsi="Verdana"/>
        </w:rPr>
      </w:pPr>
    </w:p>
    <w:p w14:paraId="22989531" w14:textId="77777777" w:rsidR="004E057D" w:rsidRDefault="004E057D" w:rsidP="001927CF">
      <w:pPr>
        <w:spacing w:line="276" w:lineRule="auto"/>
        <w:rPr>
          <w:rFonts w:ascii="Verdana" w:hAnsi="Verdana"/>
        </w:rPr>
      </w:pPr>
    </w:p>
    <w:p w14:paraId="1F1EEDC9" w14:textId="55D58AA9" w:rsidR="008C6BC5" w:rsidRPr="001927CF" w:rsidRDefault="008C6BC5" w:rsidP="0B4088E5">
      <w:pPr>
        <w:spacing w:line="276" w:lineRule="auto"/>
        <w:rPr>
          <w:rFonts w:ascii="Verdana" w:hAnsi="Verdana"/>
        </w:rPr>
      </w:pPr>
    </w:p>
    <w:p w14:paraId="232A4934" w14:textId="01548A11" w:rsidR="00F6299A" w:rsidRPr="001927CF" w:rsidRDefault="16B968F8" w:rsidP="001927CF">
      <w:pPr>
        <w:spacing w:line="276" w:lineRule="auto"/>
        <w:rPr>
          <w:rFonts w:ascii="Verdana" w:hAnsi="Verdana"/>
          <w:sz w:val="28"/>
          <w:szCs w:val="28"/>
        </w:rPr>
      </w:pPr>
      <w:r w:rsidRPr="0B4088E5">
        <w:rPr>
          <w:rFonts w:ascii="Verdana" w:hAnsi="Verdana"/>
          <w:sz w:val="28"/>
          <w:szCs w:val="28"/>
        </w:rPr>
        <w:t>The project research was co-led by Dr Sarah Holland and Dr Adam Budd</w:t>
      </w:r>
      <w:r w:rsidR="15A23443" w:rsidRPr="0B4088E5">
        <w:rPr>
          <w:rFonts w:ascii="Verdana" w:hAnsi="Verdana"/>
          <w:sz w:val="28"/>
          <w:szCs w:val="28"/>
        </w:rPr>
        <w:t>, with financial support from History UK and the Royal Historical Society</w:t>
      </w:r>
      <w:r w:rsidR="4F90AC4A" w:rsidRPr="0B4088E5">
        <w:rPr>
          <w:rFonts w:ascii="Verdana" w:hAnsi="Verdana"/>
          <w:sz w:val="28"/>
          <w:szCs w:val="28"/>
        </w:rPr>
        <w:t>.</w:t>
      </w:r>
    </w:p>
    <w:p w14:paraId="215007E0" w14:textId="4C4CB570" w:rsidR="00F6299A" w:rsidRPr="001927CF" w:rsidRDefault="16B968F8" w:rsidP="001927CF">
      <w:pPr>
        <w:spacing w:line="276" w:lineRule="auto"/>
        <w:rPr>
          <w:rFonts w:ascii="Verdana" w:hAnsi="Verdana"/>
          <w:sz w:val="28"/>
          <w:szCs w:val="28"/>
        </w:rPr>
      </w:pPr>
      <w:r w:rsidRPr="0B4088E5">
        <w:rPr>
          <w:rFonts w:ascii="Verdana" w:hAnsi="Verdana"/>
          <w:sz w:val="28"/>
          <w:szCs w:val="28"/>
        </w:rPr>
        <w:t>The project report was prepared by</w:t>
      </w:r>
      <w:r w:rsidR="0D5723BE" w:rsidRPr="0B4088E5">
        <w:rPr>
          <w:rFonts w:ascii="Verdana" w:hAnsi="Verdana"/>
          <w:sz w:val="28"/>
          <w:szCs w:val="28"/>
        </w:rPr>
        <w:t xml:space="preserve"> Dr Sarah Holland, Dr Adam Budd, Dr Coreen M</w:t>
      </w:r>
      <w:r w:rsidR="00895B9B" w:rsidRPr="0B4088E5">
        <w:rPr>
          <w:rFonts w:ascii="Verdana" w:hAnsi="Verdana"/>
          <w:sz w:val="28"/>
          <w:szCs w:val="28"/>
        </w:rPr>
        <w:t xml:space="preserve">cGuire, Dr Manuela </w:t>
      </w:r>
      <w:proofErr w:type="gramStart"/>
      <w:r w:rsidR="00895B9B" w:rsidRPr="0B4088E5">
        <w:rPr>
          <w:rFonts w:ascii="Verdana" w:hAnsi="Verdana"/>
          <w:sz w:val="28"/>
          <w:szCs w:val="28"/>
        </w:rPr>
        <w:t>Williams</w:t>
      </w:r>
      <w:proofErr w:type="gramEnd"/>
      <w:r w:rsidR="00895B9B" w:rsidRPr="0B4088E5">
        <w:rPr>
          <w:rFonts w:ascii="Verdana" w:hAnsi="Verdana"/>
          <w:sz w:val="28"/>
          <w:szCs w:val="28"/>
        </w:rPr>
        <w:t xml:space="preserve"> and Dr Simon </w:t>
      </w:r>
      <w:proofErr w:type="spellStart"/>
      <w:r w:rsidR="00895B9B" w:rsidRPr="0B4088E5">
        <w:rPr>
          <w:rFonts w:ascii="Verdana" w:hAnsi="Verdana"/>
          <w:sz w:val="28"/>
          <w:szCs w:val="28"/>
        </w:rPr>
        <w:t>Peplow</w:t>
      </w:r>
      <w:proofErr w:type="spellEnd"/>
      <w:r w:rsidR="00895B9B" w:rsidRPr="0B4088E5">
        <w:rPr>
          <w:rFonts w:ascii="Verdana" w:hAnsi="Verdana"/>
          <w:sz w:val="28"/>
          <w:szCs w:val="28"/>
        </w:rPr>
        <w:t>.</w:t>
      </w:r>
    </w:p>
    <w:p w14:paraId="64BDB3B6" w14:textId="6C6A4C18" w:rsidR="004E057D" w:rsidRPr="00D25DB8" w:rsidRDefault="16B968F8" w:rsidP="00D25DB8">
      <w:pPr>
        <w:spacing w:line="276" w:lineRule="auto"/>
        <w:rPr>
          <w:rFonts w:ascii="Verdana" w:hAnsi="Verdana"/>
          <w:sz w:val="28"/>
          <w:szCs w:val="28"/>
        </w:rPr>
      </w:pPr>
      <w:r w:rsidRPr="0B4088E5">
        <w:rPr>
          <w:rFonts w:ascii="Verdana" w:hAnsi="Verdana"/>
          <w:sz w:val="28"/>
          <w:szCs w:val="28"/>
        </w:rPr>
        <w:t>With thanks to all participants who took part in the focus groups and to Moss Pepe who undertook the literature review work for this project.</w:t>
      </w:r>
    </w:p>
    <w:p w14:paraId="0DD160EB" w14:textId="385EDA0A" w:rsidR="0097610D" w:rsidRPr="00E86374" w:rsidRDefault="02C09664" w:rsidP="00312C0E">
      <w:pPr>
        <w:spacing w:line="276" w:lineRule="auto"/>
        <w:jc w:val="center"/>
        <w:rPr>
          <w:rFonts w:ascii="Verdana" w:hAnsi="Verdana"/>
        </w:rPr>
      </w:pPr>
      <w:r w:rsidRPr="00E86374">
        <w:rPr>
          <w:rFonts w:ascii="Verdana" w:hAnsi="Verdana"/>
        </w:rPr>
        <w:lastRenderedPageBreak/>
        <w:t>Contents Page</w:t>
      </w:r>
    </w:p>
    <w:p w14:paraId="0E8407E6" w14:textId="77777777" w:rsidR="008C6BC5" w:rsidRPr="00F67A12" w:rsidRDefault="008C6BC5" w:rsidP="001927CF">
      <w:pPr>
        <w:spacing w:line="276" w:lineRule="auto"/>
        <w:rPr>
          <w:rFonts w:ascii="Verdana" w:hAnsi="Verdana"/>
        </w:rPr>
      </w:pPr>
    </w:p>
    <w:p w14:paraId="2DED3622" w14:textId="77777777" w:rsidR="00200AB1" w:rsidRPr="00F67A12" w:rsidRDefault="00200AB1" w:rsidP="001927CF">
      <w:pPr>
        <w:spacing w:line="276" w:lineRule="auto"/>
        <w:rPr>
          <w:rFonts w:ascii="Verdana" w:hAnsi="Verdana"/>
        </w:rPr>
      </w:pPr>
    </w:p>
    <w:p w14:paraId="797A71A3" w14:textId="32A0950C" w:rsidR="00BB15E2" w:rsidRPr="00F67A12" w:rsidRDefault="00BB15E2" w:rsidP="001927CF">
      <w:pPr>
        <w:spacing w:line="276" w:lineRule="auto"/>
        <w:rPr>
          <w:rFonts w:ascii="Verdana" w:hAnsi="Verdana"/>
        </w:rPr>
      </w:pPr>
      <w:r w:rsidRPr="00F67A12">
        <w:rPr>
          <w:rFonts w:ascii="Verdana" w:hAnsi="Verdana"/>
        </w:rPr>
        <w:t>Executive Summary</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3</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p>
    <w:p w14:paraId="10A047A5" w14:textId="77777777" w:rsidR="00200AB1" w:rsidRPr="00F67A12" w:rsidRDefault="00200AB1" w:rsidP="001927CF">
      <w:pPr>
        <w:spacing w:line="276" w:lineRule="auto"/>
        <w:rPr>
          <w:rFonts w:ascii="Verdana" w:hAnsi="Verdana"/>
        </w:rPr>
      </w:pPr>
    </w:p>
    <w:p w14:paraId="19E39E86" w14:textId="5BAAE500" w:rsidR="00BB15E2" w:rsidRPr="00F67A12" w:rsidRDefault="00BB15E2" w:rsidP="001927CF">
      <w:pPr>
        <w:spacing w:line="276" w:lineRule="auto"/>
        <w:rPr>
          <w:rFonts w:ascii="Verdana" w:hAnsi="Verdana"/>
        </w:rPr>
      </w:pPr>
      <w:r w:rsidRPr="00F67A12">
        <w:rPr>
          <w:rFonts w:ascii="Verdana" w:hAnsi="Verdana"/>
        </w:rPr>
        <w:t>Recommendations</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4</w:t>
      </w:r>
      <w:r w:rsidRPr="00F67A12">
        <w:rPr>
          <w:rFonts w:ascii="Verdana" w:hAnsi="Verdana"/>
        </w:rPr>
        <w:t xml:space="preserve"> </w:t>
      </w:r>
      <w:r w:rsidR="00E86374">
        <w:rPr>
          <w:rFonts w:ascii="Verdana" w:hAnsi="Verdana"/>
        </w:rPr>
        <w:tab/>
      </w:r>
    </w:p>
    <w:p w14:paraId="7D80A3C8" w14:textId="77777777" w:rsidR="00BB15E2" w:rsidRPr="00F67A12" w:rsidRDefault="00BB15E2" w:rsidP="001927CF">
      <w:pPr>
        <w:spacing w:line="276" w:lineRule="auto"/>
        <w:rPr>
          <w:rFonts w:ascii="Verdana" w:hAnsi="Verdana"/>
        </w:rPr>
      </w:pPr>
    </w:p>
    <w:p w14:paraId="63178A89" w14:textId="77777777" w:rsidR="00200AB1" w:rsidRPr="00F67A12" w:rsidRDefault="00200AB1" w:rsidP="001927CF">
      <w:pPr>
        <w:spacing w:line="276" w:lineRule="auto"/>
        <w:rPr>
          <w:rFonts w:ascii="Verdana" w:hAnsi="Verdana"/>
        </w:rPr>
      </w:pPr>
    </w:p>
    <w:p w14:paraId="3434F1DB" w14:textId="7196BDB4" w:rsidR="00F8353C" w:rsidRPr="00F67A12" w:rsidRDefault="00F8353C" w:rsidP="00F8353C">
      <w:pPr>
        <w:spacing w:line="276" w:lineRule="auto"/>
        <w:rPr>
          <w:rFonts w:ascii="Verdana" w:hAnsi="Verdana"/>
        </w:rPr>
      </w:pPr>
      <w:r w:rsidRPr="00F67A12">
        <w:rPr>
          <w:rFonts w:ascii="Verdana" w:hAnsi="Verdana"/>
        </w:rPr>
        <w:t>Introduction</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6</w:t>
      </w:r>
    </w:p>
    <w:p w14:paraId="6E2F1BC6" w14:textId="77777777" w:rsidR="00F8353C" w:rsidRPr="00F67A12" w:rsidRDefault="00F8353C" w:rsidP="00F8353C">
      <w:pPr>
        <w:spacing w:line="276" w:lineRule="auto"/>
        <w:rPr>
          <w:rFonts w:ascii="Verdana" w:hAnsi="Verdana"/>
        </w:rPr>
      </w:pPr>
    </w:p>
    <w:p w14:paraId="11D0A946" w14:textId="77777777" w:rsidR="00200AB1" w:rsidRPr="00F67A12" w:rsidRDefault="00200AB1" w:rsidP="00F8353C">
      <w:pPr>
        <w:spacing w:line="276" w:lineRule="auto"/>
        <w:rPr>
          <w:rFonts w:ascii="Verdana" w:hAnsi="Verdana"/>
        </w:rPr>
      </w:pPr>
    </w:p>
    <w:p w14:paraId="20496422" w14:textId="0AA184BF" w:rsidR="00F8353C" w:rsidRPr="00F67A12" w:rsidRDefault="00F8353C" w:rsidP="00F8353C">
      <w:pPr>
        <w:spacing w:line="276" w:lineRule="auto"/>
        <w:rPr>
          <w:rFonts w:ascii="Verdana" w:hAnsi="Verdana"/>
        </w:rPr>
      </w:pPr>
      <w:r w:rsidRPr="00F67A12">
        <w:rPr>
          <w:rFonts w:ascii="Verdana" w:hAnsi="Verdana"/>
        </w:rPr>
        <w:t>Inequalities in HE</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9</w:t>
      </w:r>
    </w:p>
    <w:p w14:paraId="00510505" w14:textId="77777777" w:rsidR="00F8353C" w:rsidRPr="00F67A12" w:rsidRDefault="00F8353C" w:rsidP="00F8353C">
      <w:pPr>
        <w:spacing w:line="276" w:lineRule="auto"/>
        <w:rPr>
          <w:rFonts w:ascii="Verdana" w:hAnsi="Verdana"/>
        </w:rPr>
      </w:pPr>
    </w:p>
    <w:p w14:paraId="06555FF0" w14:textId="77777777" w:rsidR="00200AB1" w:rsidRPr="00F67A12" w:rsidRDefault="00200AB1" w:rsidP="00F8353C">
      <w:pPr>
        <w:spacing w:line="276" w:lineRule="auto"/>
        <w:rPr>
          <w:rFonts w:ascii="Verdana" w:hAnsi="Verdana"/>
        </w:rPr>
      </w:pPr>
    </w:p>
    <w:p w14:paraId="3849AF35" w14:textId="55D05EDB" w:rsidR="00F8353C" w:rsidRPr="00E86374" w:rsidRDefault="00F8353C" w:rsidP="00E86374">
      <w:pPr>
        <w:spacing w:line="276" w:lineRule="auto"/>
        <w:rPr>
          <w:rFonts w:ascii="Verdana" w:hAnsi="Verdana"/>
        </w:rPr>
      </w:pPr>
      <w:r w:rsidRPr="00E86374">
        <w:rPr>
          <w:rFonts w:ascii="Verdana" w:hAnsi="Verdana"/>
        </w:rPr>
        <w:t xml:space="preserve">Priorities and Practices </w:t>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t>11</w:t>
      </w:r>
    </w:p>
    <w:p w14:paraId="4B356627" w14:textId="7555CAB4" w:rsidR="0014785E" w:rsidRPr="00E86374" w:rsidRDefault="00F8353C" w:rsidP="00E86374">
      <w:pPr>
        <w:pStyle w:val="ListParagraph"/>
        <w:numPr>
          <w:ilvl w:val="0"/>
          <w:numId w:val="45"/>
        </w:numPr>
        <w:spacing w:line="276" w:lineRule="auto"/>
        <w:rPr>
          <w:rFonts w:ascii="Verdana" w:hAnsi="Verdana"/>
        </w:rPr>
      </w:pPr>
      <w:r w:rsidRPr="00E86374">
        <w:rPr>
          <w:rFonts w:ascii="Verdana" w:hAnsi="Verdana"/>
        </w:rPr>
        <w:t>Defining EDI</w:t>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t>12</w:t>
      </w:r>
    </w:p>
    <w:p w14:paraId="4C78C7A3" w14:textId="2802CBEE" w:rsidR="0014785E" w:rsidRDefault="00F8353C" w:rsidP="00E86374">
      <w:pPr>
        <w:pStyle w:val="ListParagraph"/>
        <w:numPr>
          <w:ilvl w:val="0"/>
          <w:numId w:val="45"/>
        </w:numPr>
        <w:spacing w:line="276" w:lineRule="auto"/>
        <w:rPr>
          <w:rFonts w:ascii="Verdana" w:hAnsi="Verdana"/>
        </w:rPr>
      </w:pPr>
      <w:r w:rsidRPr="00E86374">
        <w:rPr>
          <w:rFonts w:ascii="Verdana" w:hAnsi="Verdana"/>
        </w:rPr>
        <w:t>Problematic Data</w:t>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r>
      <w:r w:rsidR="00E86374" w:rsidRPr="00E86374">
        <w:rPr>
          <w:rFonts w:ascii="Verdana" w:hAnsi="Verdana"/>
        </w:rPr>
        <w:tab/>
        <w:t>13</w:t>
      </w:r>
    </w:p>
    <w:p w14:paraId="4980B25C" w14:textId="4F6C061B" w:rsidR="00E86374" w:rsidRDefault="00E86374" w:rsidP="00E86374">
      <w:pPr>
        <w:pStyle w:val="ListParagraph"/>
        <w:numPr>
          <w:ilvl w:val="0"/>
          <w:numId w:val="45"/>
        </w:numPr>
        <w:spacing w:line="276" w:lineRule="auto"/>
        <w:rPr>
          <w:rFonts w:ascii="Verdana" w:hAnsi="Verdana"/>
        </w:rPr>
      </w:pPr>
      <w:r>
        <w:rPr>
          <w:rFonts w:ascii="Verdana" w:hAnsi="Verdana"/>
        </w:rPr>
        <w:t>Awarding Gaps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13</w:t>
      </w:r>
    </w:p>
    <w:p w14:paraId="7118DA8E" w14:textId="04701CA6" w:rsidR="00E86374" w:rsidRDefault="00E86374" w:rsidP="00E86374">
      <w:pPr>
        <w:pStyle w:val="ListParagraph"/>
        <w:numPr>
          <w:ilvl w:val="0"/>
          <w:numId w:val="45"/>
        </w:numPr>
        <w:spacing w:line="276" w:lineRule="auto"/>
        <w:rPr>
          <w:rFonts w:ascii="Verdana" w:hAnsi="Verdana"/>
        </w:rPr>
      </w:pPr>
      <w:r>
        <w:rPr>
          <w:rFonts w:ascii="Verdana" w:hAnsi="Verdana"/>
        </w:rPr>
        <w:t>Procedures and processes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15</w:t>
      </w:r>
    </w:p>
    <w:p w14:paraId="6D6D74DF" w14:textId="23344417" w:rsidR="00E86374" w:rsidRDefault="00E86374" w:rsidP="00E86374">
      <w:pPr>
        <w:pStyle w:val="ListParagraph"/>
        <w:numPr>
          <w:ilvl w:val="0"/>
          <w:numId w:val="45"/>
        </w:numPr>
        <w:spacing w:line="276" w:lineRule="auto"/>
        <w:rPr>
          <w:rFonts w:ascii="Verdana" w:hAnsi="Verdana"/>
        </w:rPr>
      </w:pPr>
      <w:r>
        <w:rPr>
          <w:rFonts w:ascii="Verdana" w:hAnsi="Verdana"/>
        </w:rPr>
        <w:t>Staff recruitment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15</w:t>
      </w:r>
    </w:p>
    <w:p w14:paraId="73157C00" w14:textId="409A1450" w:rsidR="0014785E" w:rsidRPr="00E86374" w:rsidRDefault="00E86374" w:rsidP="0014785E">
      <w:pPr>
        <w:pStyle w:val="ListParagraph"/>
        <w:numPr>
          <w:ilvl w:val="0"/>
          <w:numId w:val="45"/>
        </w:numPr>
        <w:spacing w:line="276" w:lineRule="auto"/>
        <w:rPr>
          <w:rFonts w:ascii="Verdana" w:hAnsi="Verdana"/>
        </w:rPr>
      </w:pPr>
      <w:r>
        <w:rPr>
          <w:rFonts w:ascii="Verdana" w:hAnsi="Verdana"/>
        </w:rPr>
        <w:t>Workload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16</w:t>
      </w:r>
    </w:p>
    <w:p w14:paraId="15772D3A" w14:textId="77777777" w:rsidR="00200AB1" w:rsidRPr="00F67A12" w:rsidRDefault="00200AB1" w:rsidP="0014785E">
      <w:pPr>
        <w:spacing w:line="276" w:lineRule="auto"/>
        <w:rPr>
          <w:rFonts w:ascii="Verdana" w:hAnsi="Verdana"/>
        </w:rPr>
      </w:pPr>
    </w:p>
    <w:p w14:paraId="1E670E2E" w14:textId="3D841AAB" w:rsidR="00F8353C" w:rsidRPr="00F67A12" w:rsidRDefault="00F8353C" w:rsidP="0014785E">
      <w:pPr>
        <w:spacing w:line="276" w:lineRule="auto"/>
        <w:rPr>
          <w:rFonts w:ascii="Verdana" w:hAnsi="Verdana"/>
        </w:rPr>
      </w:pPr>
      <w:r w:rsidRPr="00F67A12">
        <w:rPr>
          <w:rFonts w:ascii="Verdana" w:hAnsi="Verdana"/>
        </w:rPr>
        <w:t xml:space="preserve">Disability and accessibility </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19</w:t>
      </w:r>
    </w:p>
    <w:p w14:paraId="7297C928" w14:textId="77777777" w:rsidR="00F8353C" w:rsidRPr="00F67A12" w:rsidRDefault="00F8353C" w:rsidP="00F8353C">
      <w:pPr>
        <w:spacing w:line="276" w:lineRule="auto"/>
        <w:rPr>
          <w:rFonts w:ascii="Verdana" w:hAnsi="Verdana"/>
        </w:rPr>
      </w:pPr>
    </w:p>
    <w:p w14:paraId="0A39A223" w14:textId="77777777" w:rsidR="00200AB1" w:rsidRPr="00F67A12" w:rsidRDefault="00200AB1" w:rsidP="00F8353C">
      <w:pPr>
        <w:spacing w:line="276" w:lineRule="auto"/>
        <w:rPr>
          <w:rFonts w:ascii="Verdana" w:hAnsi="Verdana"/>
        </w:rPr>
      </w:pPr>
    </w:p>
    <w:p w14:paraId="440D0A8D" w14:textId="23DE0DE1" w:rsidR="00F8353C" w:rsidRPr="00F67A12" w:rsidRDefault="00F8353C" w:rsidP="0014785E">
      <w:pPr>
        <w:spacing w:line="276" w:lineRule="auto"/>
        <w:rPr>
          <w:rFonts w:ascii="Verdana" w:hAnsi="Verdana"/>
        </w:rPr>
      </w:pPr>
      <w:r w:rsidRPr="00F67A12">
        <w:rPr>
          <w:rFonts w:ascii="Verdana" w:hAnsi="Verdana"/>
        </w:rPr>
        <w:t xml:space="preserve">HE, </w:t>
      </w:r>
      <w:proofErr w:type="gramStart"/>
      <w:r w:rsidRPr="00F67A12">
        <w:rPr>
          <w:rFonts w:ascii="Verdana" w:hAnsi="Verdana"/>
        </w:rPr>
        <w:t>EDI</w:t>
      </w:r>
      <w:proofErr w:type="gramEnd"/>
      <w:r w:rsidRPr="00F67A12">
        <w:rPr>
          <w:rFonts w:ascii="Verdana" w:hAnsi="Verdana"/>
        </w:rPr>
        <w:t xml:space="preserve"> and Crisis: the pandemic and beyond</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23</w:t>
      </w:r>
    </w:p>
    <w:p w14:paraId="0819EB8A" w14:textId="77777777" w:rsidR="00F8353C" w:rsidRPr="00F67A12" w:rsidRDefault="00F8353C" w:rsidP="00F8353C">
      <w:pPr>
        <w:spacing w:line="276" w:lineRule="auto"/>
        <w:rPr>
          <w:rFonts w:ascii="Verdana" w:hAnsi="Verdana"/>
        </w:rPr>
      </w:pPr>
    </w:p>
    <w:p w14:paraId="0BA74DC1" w14:textId="77777777" w:rsidR="00200AB1" w:rsidRPr="00F67A12" w:rsidRDefault="00200AB1" w:rsidP="00F8353C">
      <w:pPr>
        <w:spacing w:line="276" w:lineRule="auto"/>
        <w:rPr>
          <w:rFonts w:ascii="Verdana" w:hAnsi="Verdana"/>
        </w:rPr>
      </w:pPr>
    </w:p>
    <w:p w14:paraId="20437D2D" w14:textId="3CEE7D4A" w:rsidR="00502769" w:rsidRPr="00F67A12" w:rsidRDefault="00F8353C" w:rsidP="0014785E">
      <w:pPr>
        <w:spacing w:line="276" w:lineRule="auto"/>
        <w:rPr>
          <w:rFonts w:ascii="Verdana" w:hAnsi="Verdana"/>
        </w:rPr>
      </w:pPr>
      <w:r w:rsidRPr="00F67A12">
        <w:rPr>
          <w:rFonts w:ascii="Verdana" w:hAnsi="Verdana"/>
        </w:rPr>
        <w:t xml:space="preserve">EDI and History Curricula </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28</w:t>
      </w:r>
    </w:p>
    <w:p w14:paraId="2A5C5F8F" w14:textId="71CF00D6" w:rsidR="00502769" w:rsidRPr="00F67A12" w:rsidRDefault="00502769" w:rsidP="00200AB1">
      <w:pPr>
        <w:pStyle w:val="ListParagraph"/>
        <w:numPr>
          <w:ilvl w:val="0"/>
          <w:numId w:val="45"/>
        </w:numPr>
        <w:spacing w:line="276" w:lineRule="auto"/>
        <w:rPr>
          <w:rFonts w:ascii="Verdana" w:hAnsi="Verdana"/>
        </w:rPr>
      </w:pPr>
      <w:r w:rsidRPr="00F67A12">
        <w:rPr>
          <w:rFonts w:ascii="Verdana" w:hAnsi="Verdana"/>
        </w:rPr>
        <w:t xml:space="preserve">Drive for more inclusive curricula: </w:t>
      </w:r>
      <w:r w:rsidR="00E86374">
        <w:rPr>
          <w:rFonts w:ascii="Verdana" w:hAnsi="Verdana"/>
        </w:rPr>
        <w:br/>
      </w:r>
      <w:r w:rsidRPr="00F67A12">
        <w:rPr>
          <w:rFonts w:ascii="Verdana" w:hAnsi="Verdana"/>
        </w:rPr>
        <w:t>diversifying and decolonising the curriculum</w:t>
      </w:r>
      <w:r w:rsidR="00E86374">
        <w:rPr>
          <w:rFonts w:ascii="Verdana" w:hAnsi="Verdana"/>
        </w:rPr>
        <w:tab/>
      </w:r>
      <w:r w:rsidR="00E86374">
        <w:rPr>
          <w:rFonts w:ascii="Verdana" w:hAnsi="Verdana"/>
        </w:rPr>
        <w:tab/>
      </w:r>
      <w:r w:rsidR="00E86374">
        <w:rPr>
          <w:rFonts w:ascii="Verdana" w:hAnsi="Verdana"/>
        </w:rPr>
        <w:tab/>
        <w:t>30</w:t>
      </w:r>
    </w:p>
    <w:p w14:paraId="3C218DC3" w14:textId="09CC4344" w:rsidR="00F8353C" w:rsidRPr="00F67A12" w:rsidRDefault="00502769" w:rsidP="00F8353C">
      <w:pPr>
        <w:pStyle w:val="ListParagraph"/>
        <w:numPr>
          <w:ilvl w:val="0"/>
          <w:numId w:val="45"/>
        </w:numPr>
        <w:spacing w:line="276" w:lineRule="auto"/>
        <w:rPr>
          <w:rFonts w:ascii="Verdana" w:hAnsi="Verdana"/>
        </w:rPr>
      </w:pPr>
      <w:r w:rsidRPr="00F67A12">
        <w:rPr>
          <w:rFonts w:ascii="Verdana" w:hAnsi="Verdana"/>
        </w:rPr>
        <w:t>Assessment</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34</w:t>
      </w:r>
    </w:p>
    <w:p w14:paraId="55778D4F" w14:textId="005546F5" w:rsidR="0014785E" w:rsidRPr="00F67A12" w:rsidRDefault="00F8353C" w:rsidP="00200AB1">
      <w:pPr>
        <w:pStyle w:val="ListParagraph"/>
        <w:numPr>
          <w:ilvl w:val="0"/>
          <w:numId w:val="45"/>
        </w:numPr>
        <w:spacing w:line="276" w:lineRule="auto"/>
        <w:rPr>
          <w:rFonts w:ascii="Verdana" w:hAnsi="Verdana"/>
        </w:rPr>
      </w:pPr>
      <w:r w:rsidRPr="00F67A12">
        <w:rPr>
          <w:rFonts w:ascii="Verdana" w:hAnsi="Verdana"/>
        </w:rPr>
        <w:t>Pastoral care and academic support</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35</w:t>
      </w:r>
    </w:p>
    <w:p w14:paraId="39D7A430" w14:textId="1184DEC7" w:rsidR="00502769" w:rsidRPr="00F67A12" w:rsidRDefault="00F8353C" w:rsidP="00200AB1">
      <w:pPr>
        <w:pStyle w:val="ListParagraph"/>
        <w:numPr>
          <w:ilvl w:val="0"/>
          <w:numId w:val="45"/>
        </w:numPr>
        <w:spacing w:line="276" w:lineRule="auto"/>
        <w:rPr>
          <w:rFonts w:ascii="Verdana" w:hAnsi="Verdana"/>
        </w:rPr>
      </w:pPr>
      <w:r w:rsidRPr="00F67A12">
        <w:rPr>
          <w:rFonts w:ascii="Verdana" w:hAnsi="Verdana"/>
        </w:rPr>
        <w:t xml:space="preserve">Community building and belonging </w:t>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r>
      <w:r w:rsidR="00E86374">
        <w:rPr>
          <w:rFonts w:ascii="Verdana" w:hAnsi="Verdana"/>
        </w:rPr>
        <w:tab/>
        <w:t>3</w:t>
      </w:r>
      <w:r w:rsidR="00FC73E8">
        <w:rPr>
          <w:rFonts w:ascii="Verdana" w:hAnsi="Verdana"/>
        </w:rPr>
        <w:t>8</w:t>
      </w:r>
    </w:p>
    <w:p w14:paraId="3EF78C8C" w14:textId="465641EF" w:rsidR="00502769" w:rsidRPr="00F67A12" w:rsidRDefault="00502769" w:rsidP="00F8353C">
      <w:pPr>
        <w:pStyle w:val="ListParagraph"/>
        <w:numPr>
          <w:ilvl w:val="0"/>
          <w:numId w:val="45"/>
        </w:numPr>
        <w:spacing w:line="276" w:lineRule="auto"/>
        <w:rPr>
          <w:rFonts w:ascii="Verdana" w:hAnsi="Verdana"/>
        </w:rPr>
      </w:pPr>
      <w:r w:rsidRPr="00F67A12">
        <w:rPr>
          <w:rFonts w:ascii="Verdana" w:hAnsi="Verdana"/>
        </w:rPr>
        <w:t>History-Specific Opportunities and Challenges</w:t>
      </w:r>
      <w:r w:rsidR="00E86374">
        <w:rPr>
          <w:rFonts w:ascii="Verdana" w:hAnsi="Verdana"/>
        </w:rPr>
        <w:tab/>
      </w:r>
      <w:r w:rsidR="00E86374">
        <w:rPr>
          <w:rFonts w:ascii="Verdana" w:hAnsi="Verdana"/>
        </w:rPr>
        <w:tab/>
      </w:r>
      <w:r w:rsidR="00E86374">
        <w:rPr>
          <w:rFonts w:ascii="Verdana" w:hAnsi="Verdana"/>
        </w:rPr>
        <w:tab/>
        <w:t>4</w:t>
      </w:r>
      <w:r w:rsidR="00FC73E8">
        <w:rPr>
          <w:rFonts w:ascii="Verdana" w:hAnsi="Verdana"/>
        </w:rPr>
        <w:t>1</w:t>
      </w:r>
    </w:p>
    <w:p w14:paraId="1FD738E7" w14:textId="77777777" w:rsidR="00200AB1" w:rsidRDefault="00200AB1" w:rsidP="001927CF">
      <w:pPr>
        <w:spacing w:line="276" w:lineRule="auto"/>
        <w:rPr>
          <w:rFonts w:ascii="Verdana" w:hAnsi="Verdana"/>
        </w:rPr>
      </w:pPr>
    </w:p>
    <w:p w14:paraId="122FA316" w14:textId="77777777" w:rsidR="00E86374" w:rsidRPr="00F67A12" w:rsidRDefault="00E86374" w:rsidP="001927CF">
      <w:pPr>
        <w:spacing w:line="276" w:lineRule="auto"/>
        <w:rPr>
          <w:rFonts w:ascii="Verdana" w:hAnsi="Verdana"/>
        </w:rPr>
      </w:pPr>
    </w:p>
    <w:p w14:paraId="485A6C47" w14:textId="670A2951" w:rsidR="00A15131" w:rsidRPr="00061DE5" w:rsidRDefault="00A15131" w:rsidP="00061DE5">
      <w:pPr>
        <w:pStyle w:val="Heading1"/>
      </w:pPr>
      <w:r w:rsidRPr="00061DE5">
        <w:lastRenderedPageBreak/>
        <w:t>Executive Summary</w:t>
      </w:r>
    </w:p>
    <w:p w14:paraId="4FF8A9BF" w14:textId="3730DB14" w:rsidR="00A15131" w:rsidRPr="00E94EB9" w:rsidRDefault="00A15131" w:rsidP="00A15131">
      <w:pPr>
        <w:spacing w:line="276" w:lineRule="auto"/>
        <w:rPr>
          <w:rFonts w:ascii="Verdana" w:hAnsi="Verdana"/>
        </w:rPr>
      </w:pPr>
      <w:r w:rsidRPr="00E94EB9">
        <w:rPr>
          <w:rFonts w:ascii="Verdana" w:hAnsi="Verdana"/>
        </w:rPr>
        <w:t>Our research reveals that EDI</w:t>
      </w:r>
      <w:r w:rsidR="00BB15E2">
        <w:rPr>
          <w:rFonts w:ascii="Verdana" w:hAnsi="Verdana"/>
        </w:rPr>
        <w:t xml:space="preserve"> (Equality/Equity, </w:t>
      </w:r>
      <w:proofErr w:type="gramStart"/>
      <w:r w:rsidR="00BB15E2">
        <w:rPr>
          <w:rFonts w:ascii="Verdana" w:hAnsi="Verdana"/>
        </w:rPr>
        <w:t>Diversity</w:t>
      </w:r>
      <w:proofErr w:type="gramEnd"/>
      <w:r w:rsidR="00BB15E2">
        <w:rPr>
          <w:rFonts w:ascii="Verdana" w:hAnsi="Verdana"/>
        </w:rPr>
        <w:t xml:space="preserve"> and Inclusion)</w:t>
      </w:r>
      <w:r w:rsidRPr="00E94EB9">
        <w:rPr>
          <w:rFonts w:ascii="Verdana" w:hAnsi="Verdana"/>
        </w:rPr>
        <w:t xml:space="preserve"> is recognised to be integral to the teaching and making of history</w:t>
      </w:r>
      <w:r w:rsidR="00CF215B">
        <w:rPr>
          <w:rFonts w:ascii="Verdana" w:hAnsi="Verdana"/>
        </w:rPr>
        <w:t xml:space="preserve">. Amongst a diverse range of EDI issues identified by focus group members, all </w:t>
      </w:r>
      <w:r w:rsidR="00CF215B" w:rsidRPr="00E94EB9">
        <w:rPr>
          <w:rFonts w:ascii="Verdana" w:hAnsi="Verdana"/>
        </w:rPr>
        <w:t>affirm</w:t>
      </w:r>
      <w:r w:rsidR="00CF215B">
        <w:rPr>
          <w:rFonts w:ascii="Verdana" w:hAnsi="Verdana"/>
        </w:rPr>
        <w:t>ed</w:t>
      </w:r>
      <w:r w:rsidR="00CF215B" w:rsidRPr="00E94EB9">
        <w:rPr>
          <w:rFonts w:ascii="Verdana" w:hAnsi="Verdana"/>
        </w:rPr>
        <w:t xml:space="preserve"> that decolonisation of the curriculum was a priority for their department and institutions</w:t>
      </w:r>
      <w:r w:rsidRPr="00E94EB9">
        <w:rPr>
          <w:rFonts w:ascii="Verdana" w:hAnsi="Verdana"/>
        </w:rPr>
        <w:t>. The RHS reports on ‘Race, Ethnicity &amp; Equality in UK History’</w:t>
      </w:r>
      <w:r w:rsidR="00822C89">
        <w:rPr>
          <w:rFonts w:ascii="Verdana" w:hAnsi="Verdana"/>
        </w:rPr>
        <w:t xml:space="preserve">, </w:t>
      </w:r>
      <w:r w:rsidR="00C20B92">
        <w:rPr>
          <w:rFonts w:ascii="Verdana" w:hAnsi="Verdana"/>
        </w:rPr>
        <w:t>‘</w:t>
      </w:r>
      <w:r w:rsidR="00822C89">
        <w:rPr>
          <w:rFonts w:ascii="Verdana" w:hAnsi="Verdana"/>
        </w:rPr>
        <w:t>Gender Equality and Historians’,</w:t>
      </w:r>
      <w:r w:rsidRPr="00E94EB9">
        <w:rPr>
          <w:rFonts w:ascii="Verdana" w:hAnsi="Verdana"/>
        </w:rPr>
        <w:t xml:space="preserve"> and ‘LGBT+ Histories and Historians: Report and Resources’ </w:t>
      </w:r>
      <w:r w:rsidR="00200AB1">
        <w:rPr>
          <w:rFonts w:ascii="Verdana" w:hAnsi="Verdana"/>
        </w:rPr>
        <w:t>we</w:t>
      </w:r>
      <w:r w:rsidR="006D3437">
        <w:rPr>
          <w:rFonts w:ascii="Verdana" w:hAnsi="Verdana"/>
        </w:rPr>
        <w:t>re</w:t>
      </w:r>
      <w:r w:rsidRPr="00E94EB9">
        <w:rPr>
          <w:rFonts w:ascii="Verdana" w:hAnsi="Verdana"/>
        </w:rPr>
        <w:t xml:space="preserve"> considered foundational to </w:t>
      </w:r>
      <w:r w:rsidR="00423EA5">
        <w:rPr>
          <w:rFonts w:ascii="Verdana" w:hAnsi="Verdana"/>
        </w:rPr>
        <w:t>EDI</w:t>
      </w:r>
      <w:r w:rsidRPr="00E94EB9">
        <w:rPr>
          <w:rFonts w:ascii="Verdana" w:hAnsi="Verdana"/>
        </w:rPr>
        <w:t xml:space="preserve"> work. However, there </w:t>
      </w:r>
      <w:r w:rsidR="00C20B92">
        <w:rPr>
          <w:rFonts w:ascii="Verdana" w:hAnsi="Verdana"/>
        </w:rPr>
        <w:t>i</w:t>
      </w:r>
      <w:r w:rsidRPr="00E94EB9">
        <w:rPr>
          <w:rFonts w:ascii="Verdana" w:hAnsi="Verdana"/>
        </w:rPr>
        <w:t>s widespread frustration at the lack of resources to embed and sustain these initiatives. Investment in new and existing staff, specific resources and students are necessary for decolonisation work, and we must take time to allow it to be fully embedded across the curriculum. Similarly, there was widespread recognition of the importance of addressing ongoing experiences of discrimination faced by L</w:t>
      </w:r>
      <w:r w:rsidR="00610C39">
        <w:rPr>
          <w:rFonts w:ascii="Verdana" w:hAnsi="Verdana"/>
        </w:rPr>
        <w:t>G</w:t>
      </w:r>
      <w:r w:rsidRPr="00E94EB9">
        <w:rPr>
          <w:rFonts w:ascii="Verdana" w:hAnsi="Verdana"/>
        </w:rPr>
        <w:t xml:space="preserve">BTQ+ students, and history was considered uniquely useful for this work. Yet participants reflected that teaching and research on gender and sexualities was not </w:t>
      </w:r>
      <w:r w:rsidR="00783779">
        <w:rPr>
          <w:rFonts w:ascii="Verdana" w:hAnsi="Verdana"/>
        </w:rPr>
        <w:t xml:space="preserve">always </w:t>
      </w:r>
      <w:r w:rsidRPr="00E94EB9">
        <w:rPr>
          <w:rFonts w:ascii="Verdana" w:hAnsi="Verdana"/>
        </w:rPr>
        <w:t xml:space="preserve">valued by institutions. More broadly, there was consensus that critical EDI reform work was not </w:t>
      </w:r>
      <w:r w:rsidR="00783779">
        <w:rPr>
          <w:rFonts w:ascii="Verdana" w:hAnsi="Verdana"/>
        </w:rPr>
        <w:t xml:space="preserve">adequately </w:t>
      </w:r>
      <w:r w:rsidRPr="00E94EB9">
        <w:rPr>
          <w:rFonts w:ascii="Verdana" w:hAnsi="Verdana"/>
        </w:rPr>
        <w:t xml:space="preserve">rewarded or recognised in staff workload models, leading to excessive workload becoming an EDI issue in and of itself. </w:t>
      </w:r>
    </w:p>
    <w:p w14:paraId="1194E8F2" w14:textId="77777777" w:rsidR="00A15131" w:rsidRPr="00E94EB9" w:rsidRDefault="00A15131" w:rsidP="00A15131">
      <w:pPr>
        <w:spacing w:line="276" w:lineRule="auto"/>
        <w:rPr>
          <w:rFonts w:ascii="Verdana" w:hAnsi="Verdana"/>
        </w:rPr>
      </w:pPr>
    </w:p>
    <w:p w14:paraId="15FA24EB" w14:textId="088C62ED" w:rsidR="009E7DF2" w:rsidRDefault="00A15131" w:rsidP="0B4088E5">
      <w:pPr>
        <w:spacing w:line="276" w:lineRule="auto"/>
        <w:rPr>
          <w:rFonts w:ascii="Verdana" w:hAnsi="Verdana"/>
        </w:rPr>
      </w:pPr>
      <w:r w:rsidRPr="00E94EB9">
        <w:rPr>
          <w:rFonts w:ascii="Verdana" w:hAnsi="Verdana"/>
        </w:rPr>
        <w:t xml:space="preserve">Concerns over appropriate terminology in relation to decolonisation or diversification reflected broader anxieties over the remit and meanings of EDI. Disability was consistently highlighted as an issue that was </w:t>
      </w:r>
      <w:r w:rsidR="00524F58">
        <w:rPr>
          <w:rFonts w:ascii="Verdana" w:hAnsi="Verdana"/>
        </w:rPr>
        <w:t xml:space="preserve">often </w:t>
      </w:r>
      <w:r w:rsidRPr="00E94EB9">
        <w:rPr>
          <w:rFonts w:ascii="Verdana" w:hAnsi="Verdana"/>
        </w:rPr>
        <w:t xml:space="preserve">neglected in EDI discussions, </w:t>
      </w:r>
      <w:r w:rsidR="002D7903">
        <w:rPr>
          <w:rFonts w:ascii="Verdana" w:hAnsi="Verdana"/>
        </w:rPr>
        <w:t xml:space="preserve">although </w:t>
      </w:r>
      <w:r w:rsidRPr="00E94EB9">
        <w:rPr>
          <w:rFonts w:ascii="Verdana" w:hAnsi="Verdana"/>
        </w:rPr>
        <w:t xml:space="preserve">participants noted that inaccessible practices had become more visible during the </w:t>
      </w:r>
      <w:r w:rsidR="00AD1F8D">
        <w:rPr>
          <w:rFonts w:ascii="Verdana" w:hAnsi="Verdana"/>
        </w:rPr>
        <w:t xml:space="preserve">Covid-19 </w:t>
      </w:r>
      <w:r w:rsidRPr="00E94EB9">
        <w:rPr>
          <w:rFonts w:ascii="Verdana" w:hAnsi="Verdana"/>
        </w:rPr>
        <w:t>pandemic</w:t>
      </w:r>
      <w:r w:rsidR="002D7903">
        <w:rPr>
          <w:rFonts w:ascii="Verdana" w:hAnsi="Verdana"/>
        </w:rPr>
        <w:t>.</w:t>
      </w:r>
      <w:r w:rsidRPr="00E94EB9">
        <w:rPr>
          <w:rFonts w:ascii="Verdana" w:hAnsi="Verdana"/>
        </w:rPr>
        <w:t xml:space="preserve"> </w:t>
      </w:r>
      <w:r w:rsidR="002D7903">
        <w:rPr>
          <w:rFonts w:ascii="Verdana" w:hAnsi="Verdana"/>
        </w:rPr>
        <w:t>More</w:t>
      </w:r>
      <w:r w:rsidRPr="00E94EB9">
        <w:rPr>
          <w:rFonts w:ascii="Verdana" w:hAnsi="Verdana"/>
        </w:rPr>
        <w:t xml:space="preserve"> resources for </w:t>
      </w:r>
      <w:r w:rsidR="002D7903">
        <w:rPr>
          <w:rFonts w:ascii="Verdana" w:hAnsi="Verdana"/>
        </w:rPr>
        <w:t xml:space="preserve">dedicated </w:t>
      </w:r>
      <w:r w:rsidRPr="00E94EB9">
        <w:rPr>
          <w:rFonts w:ascii="Verdana" w:hAnsi="Verdana"/>
        </w:rPr>
        <w:t xml:space="preserve">staff </w:t>
      </w:r>
      <w:r w:rsidR="002D7903">
        <w:rPr>
          <w:rFonts w:ascii="Verdana" w:hAnsi="Verdana"/>
        </w:rPr>
        <w:t xml:space="preserve">to </w:t>
      </w:r>
      <w:r w:rsidRPr="00E94EB9">
        <w:rPr>
          <w:rFonts w:ascii="Verdana" w:hAnsi="Verdana"/>
        </w:rPr>
        <w:t xml:space="preserve">support student mental health </w:t>
      </w:r>
      <w:r w:rsidR="00524F58">
        <w:rPr>
          <w:rFonts w:ascii="Verdana" w:hAnsi="Verdana"/>
        </w:rPr>
        <w:t>a</w:t>
      </w:r>
      <w:r w:rsidRPr="00E94EB9">
        <w:rPr>
          <w:rFonts w:ascii="Verdana" w:hAnsi="Verdana"/>
        </w:rPr>
        <w:t>re urgently needed to help the growing number of students with mental health difficulties</w:t>
      </w:r>
      <w:r w:rsidR="001D2167">
        <w:rPr>
          <w:rFonts w:ascii="Verdana" w:hAnsi="Verdana"/>
        </w:rPr>
        <w:t xml:space="preserve"> and to avoid this falling onto colleagues without the training to adequately support students in this way</w:t>
      </w:r>
      <w:r w:rsidRPr="00E94EB9">
        <w:rPr>
          <w:rFonts w:ascii="Verdana" w:hAnsi="Verdana"/>
        </w:rPr>
        <w:t>.</w:t>
      </w:r>
      <w:r w:rsidR="002D7903">
        <w:rPr>
          <w:rFonts w:ascii="Verdana" w:hAnsi="Verdana"/>
        </w:rPr>
        <w:t xml:space="preserve"> </w:t>
      </w:r>
      <w:r w:rsidRPr="00E94EB9">
        <w:rPr>
          <w:rFonts w:ascii="Verdana" w:hAnsi="Verdana"/>
        </w:rPr>
        <w:t xml:space="preserve">Accessibility initiatives introduced during the pandemic for digital and sensorial inclusion have not been widely retained, and the work involved in establishing these practices has been scarcely understood or recognised. </w:t>
      </w:r>
      <w:r w:rsidRPr="00171A78">
        <w:rPr>
          <w:rFonts w:ascii="Verdana" w:hAnsi="Verdana"/>
          <w:color w:val="000000" w:themeColor="text1"/>
        </w:rPr>
        <w:t xml:space="preserve">The pandemic has exacerbated the effects of poverty and the cost-of-living crisis </w:t>
      </w:r>
      <w:r w:rsidR="00524F58">
        <w:rPr>
          <w:rFonts w:ascii="Verdana" w:hAnsi="Verdana"/>
          <w:color w:val="000000" w:themeColor="text1"/>
        </w:rPr>
        <w:t>and</w:t>
      </w:r>
      <w:r w:rsidRPr="00171A78">
        <w:rPr>
          <w:rFonts w:ascii="Verdana" w:hAnsi="Verdana"/>
          <w:color w:val="000000" w:themeColor="text1"/>
        </w:rPr>
        <w:t xml:space="preserve"> further impacted on both staff and students. </w:t>
      </w:r>
      <w:r w:rsidRPr="00E94EB9">
        <w:rPr>
          <w:rFonts w:ascii="Verdana" w:hAnsi="Verdana"/>
        </w:rPr>
        <w:t xml:space="preserve">Obstructive bureaucracy was recognised to be a key barrier to EDI work. Flexible, clear, agile responses to EDI issues are necessary for the kind of </w:t>
      </w:r>
      <w:r w:rsidRPr="00E94EB9">
        <w:rPr>
          <w:rFonts w:ascii="Verdana" w:hAnsi="Verdana"/>
        </w:rPr>
        <w:lastRenderedPageBreak/>
        <w:t xml:space="preserve">intersectional holistic approach our participants suggest. </w:t>
      </w:r>
      <w:r w:rsidR="00610C39">
        <w:rPr>
          <w:rFonts w:ascii="Verdana" w:hAnsi="Verdana"/>
        </w:rPr>
        <w:t xml:space="preserve">In our recommendations we </w:t>
      </w:r>
      <w:r w:rsidRPr="00E94EB9">
        <w:rPr>
          <w:rFonts w:ascii="Verdana" w:hAnsi="Verdana"/>
        </w:rPr>
        <w:t xml:space="preserve">suggest </w:t>
      </w:r>
      <w:r w:rsidR="00610C39">
        <w:rPr>
          <w:rFonts w:ascii="Verdana" w:hAnsi="Verdana"/>
        </w:rPr>
        <w:t xml:space="preserve">six </w:t>
      </w:r>
      <w:r w:rsidRPr="00E94EB9">
        <w:rPr>
          <w:rFonts w:ascii="Verdana" w:hAnsi="Verdana"/>
        </w:rPr>
        <w:t>pathways to support such responses</w:t>
      </w:r>
      <w:r w:rsidR="008D119F">
        <w:rPr>
          <w:rFonts w:ascii="Verdana" w:hAnsi="Verdana"/>
        </w:rPr>
        <w:t>.</w:t>
      </w:r>
    </w:p>
    <w:p w14:paraId="41B5495F" w14:textId="77777777" w:rsidR="00CF72D0" w:rsidRDefault="00CF72D0" w:rsidP="000D729B">
      <w:pPr>
        <w:spacing w:after="160" w:line="259" w:lineRule="auto"/>
        <w:rPr>
          <w:rFonts w:ascii="Verdana" w:eastAsia="Verdana" w:hAnsi="Verdana" w:cs="Verdana"/>
          <w:b/>
          <w:bCs/>
          <w:color w:val="000000" w:themeColor="text1"/>
          <w:lang w:val="en-US"/>
        </w:rPr>
      </w:pPr>
    </w:p>
    <w:p w14:paraId="1809C915" w14:textId="77777777" w:rsidR="00DC7DB4" w:rsidRDefault="00DC7DB4" w:rsidP="000D729B">
      <w:pPr>
        <w:spacing w:after="160" w:line="259" w:lineRule="auto"/>
        <w:rPr>
          <w:rFonts w:ascii="Verdana" w:eastAsia="Verdana" w:hAnsi="Verdana" w:cs="Verdana"/>
          <w:b/>
          <w:bCs/>
          <w:color w:val="000000" w:themeColor="text1"/>
          <w:lang w:val="en-US"/>
        </w:rPr>
      </w:pPr>
    </w:p>
    <w:p w14:paraId="5F09FDC3" w14:textId="1AC3C312" w:rsidR="00C02710" w:rsidRDefault="000D729B" w:rsidP="00061DE5">
      <w:pPr>
        <w:pStyle w:val="Heading1"/>
        <w:rPr>
          <w:rFonts w:eastAsia="Verdana"/>
          <w:lang w:val="en-US"/>
        </w:rPr>
      </w:pPr>
      <w:r w:rsidRPr="00347FD2">
        <w:rPr>
          <w:rFonts w:eastAsia="Verdana"/>
          <w:lang w:val="en-US"/>
        </w:rPr>
        <w:t>Recommendations</w:t>
      </w:r>
    </w:p>
    <w:p w14:paraId="6AF885FA" w14:textId="4E5647B6" w:rsidR="000D729B" w:rsidRPr="000D729B" w:rsidRDefault="000D729B" w:rsidP="000D729B">
      <w:pPr>
        <w:spacing w:after="160" w:line="259" w:lineRule="auto"/>
        <w:rPr>
          <w:rFonts w:ascii="Verdana" w:eastAsia="Verdana" w:hAnsi="Verdana" w:cs="Verdana"/>
          <w:b/>
          <w:bCs/>
          <w:color w:val="000000" w:themeColor="text1"/>
          <w:lang w:val="en-US"/>
        </w:rPr>
      </w:pPr>
      <w:r w:rsidRPr="00347FD2">
        <w:rPr>
          <w:rFonts w:ascii="Verdana" w:eastAsia="Verdana" w:hAnsi="Verdana" w:cs="Verdana"/>
          <w:color w:val="000000" w:themeColor="text1"/>
          <w:lang w:val="en-US"/>
        </w:rPr>
        <w:t>Issues concerning equality, diversity and inclusion have affected the experiences of staff and students alike. This report argues that the experience of the learner cannot be separated from that of the teacher and therefore recommendations to improve policies and practices in History departments across UK HEIs will concern both categories. Many of the recommendations are not subject-specific and are widely applicable across the sector. However, where history specific opportunities or challenges have been highlighted, we have responded accordingly.</w:t>
      </w:r>
    </w:p>
    <w:p w14:paraId="5B38B4D7" w14:textId="77777777" w:rsidR="000D729B" w:rsidRPr="00347FD2" w:rsidRDefault="000D729B" w:rsidP="000D729B">
      <w:pPr>
        <w:spacing w:after="160" w:line="259" w:lineRule="auto"/>
        <w:rPr>
          <w:rFonts w:ascii="Verdana" w:eastAsia="Verdana" w:hAnsi="Verdana" w:cs="Verdana"/>
          <w:color w:val="000000" w:themeColor="text1"/>
          <w:lang w:val="en-US"/>
        </w:rPr>
      </w:pPr>
    </w:p>
    <w:p w14:paraId="6ED3B3A6" w14:textId="77777777" w:rsidR="006572C7" w:rsidRDefault="000D729B" w:rsidP="000D729B">
      <w:pPr>
        <w:pStyle w:val="ListParagraph"/>
        <w:numPr>
          <w:ilvl w:val="0"/>
          <w:numId w:val="46"/>
        </w:numPr>
        <w:spacing w:after="160" w:line="259" w:lineRule="auto"/>
        <w:rPr>
          <w:rFonts w:ascii="Verdana" w:eastAsia="Verdana" w:hAnsi="Verdana" w:cs="Verdana"/>
          <w:b/>
          <w:bCs/>
          <w:color w:val="000000" w:themeColor="text1"/>
          <w:lang w:val="en-US"/>
        </w:rPr>
      </w:pPr>
      <w:r w:rsidRPr="00347FD2">
        <w:rPr>
          <w:rFonts w:ascii="Verdana" w:eastAsia="Verdana" w:hAnsi="Verdana" w:cs="Verdana"/>
          <w:b/>
          <w:bCs/>
          <w:color w:val="000000" w:themeColor="text1"/>
          <w:lang w:val="en-US"/>
        </w:rPr>
        <w:t xml:space="preserve">Increase EDI data </w:t>
      </w:r>
      <w:proofErr w:type="gramStart"/>
      <w:r w:rsidRPr="00347FD2">
        <w:rPr>
          <w:rFonts w:ascii="Verdana" w:eastAsia="Verdana" w:hAnsi="Verdana" w:cs="Verdana"/>
          <w:b/>
          <w:bCs/>
          <w:color w:val="000000" w:themeColor="text1"/>
          <w:lang w:val="en-US"/>
        </w:rPr>
        <w:t>collection</w:t>
      </w:r>
      <w:proofErr w:type="gramEnd"/>
    </w:p>
    <w:p w14:paraId="75290371" w14:textId="4710AAC5" w:rsidR="000D729B" w:rsidRPr="006572C7" w:rsidRDefault="000D729B" w:rsidP="006572C7">
      <w:pPr>
        <w:spacing w:after="160" w:line="259" w:lineRule="auto"/>
        <w:rPr>
          <w:rFonts w:ascii="Verdana" w:eastAsia="Verdana" w:hAnsi="Verdana" w:cs="Verdana"/>
          <w:b/>
          <w:bCs/>
          <w:color w:val="000000" w:themeColor="text1"/>
          <w:lang w:val="en-US"/>
        </w:rPr>
      </w:pPr>
      <w:r w:rsidRPr="006572C7">
        <w:rPr>
          <w:rFonts w:ascii="Verdana" w:eastAsia="Verdana" w:hAnsi="Verdana" w:cs="Verdana"/>
          <w:color w:val="000000" w:themeColor="text1"/>
          <w:lang w:val="en-US"/>
        </w:rPr>
        <w:t xml:space="preserve">We need more robust and timely data on student progression, including evidence of intersectionality between EDI indicators. Greater emphasis needs to be placed on </w:t>
      </w:r>
      <w:r w:rsidR="00953346">
        <w:rPr>
          <w:rFonts w:ascii="Verdana" w:eastAsia="Verdana" w:hAnsi="Verdana" w:cs="Verdana"/>
          <w:color w:val="000000" w:themeColor="text1"/>
          <w:lang w:val="en-US"/>
        </w:rPr>
        <w:t xml:space="preserve">moving beyond ‘awarding gaps’ to </w:t>
      </w:r>
      <w:r w:rsidRPr="006572C7">
        <w:rPr>
          <w:rFonts w:ascii="Verdana" w:eastAsia="Verdana" w:hAnsi="Verdana" w:cs="Verdana"/>
          <w:color w:val="000000" w:themeColor="text1"/>
          <w:lang w:val="en-US"/>
        </w:rPr>
        <w:t>measuring ‘gaps’ across the degree from induction</w:t>
      </w:r>
      <w:r w:rsidR="00953346">
        <w:rPr>
          <w:rFonts w:ascii="Verdana" w:eastAsia="Verdana" w:hAnsi="Verdana" w:cs="Verdana"/>
          <w:color w:val="000000" w:themeColor="text1"/>
          <w:lang w:val="en-US"/>
        </w:rPr>
        <w:t xml:space="preserve"> to</w:t>
      </w:r>
      <w:r w:rsidRPr="006572C7">
        <w:rPr>
          <w:rFonts w:ascii="Verdana" w:eastAsia="Verdana" w:hAnsi="Verdana" w:cs="Verdana"/>
          <w:color w:val="000000" w:themeColor="text1"/>
          <w:lang w:val="en-US"/>
        </w:rPr>
        <w:t xml:space="preserve"> transition </w:t>
      </w:r>
      <w:r w:rsidR="00953346">
        <w:rPr>
          <w:rFonts w:ascii="Verdana" w:eastAsia="Verdana" w:hAnsi="Verdana" w:cs="Verdana"/>
          <w:color w:val="000000" w:themeColor="text1"/>
          <w:lang w:val="en-US"/>
        </w:rPr>
        <w:t>and</w:t>
      </w:r>
      <w:r w:rsidRPr="006572C7">
        <w:rPr>
          <w:rFonts w:ascii="Verdana" w:eastAsia="Verdana" w:hAnsi="Verdana" w:cs="Verdana"/>
          <w:color w:val="000000" w:themeColor="text1"/>
          <w:lang w:val="en-US"/>
        </w:rPr>
        <w:t xml:space="preserve"> retention</w:t>
      </w:r>
      <w:r w:rsidR="00953346">
        <w:rPr>
          <w:rFonts w:ascii="Verdana" w:eastAsia="Verdana" w:hAnsi="Verdana" w:cs="Verdana"/>
          <w:color w:val="000000" w:themeColor="text1"/>
          <w:lang w:val="en-US"/>
        </w:rPr>
        <w:t xml:space="preserve">, as well as </w:t>
      </w:r>
      <w:r w:rsidRPr="006572C7">
        <w:rPr>
          <w:rFonts w:ascii="Verdana" w:eastAsia="Verdana" w:hAnsi="Verdana" w:cs="Verdana"/>
          <w:color w:val="000000" w:themeColor="text1"/>
          <w:lang w:val="en-US"/>
        </w:rPr>
        <w:t xml:space="preserve">graduation and beyond. We need accurate and timely data on the extent of mental health issues within the student population and we need qualitative </w:t>
      </w:r>
      <w:r w:rsidR="00953346">
        <w:rPr>
          <w:rFonts w:ascii="Verdana" w:eastAsia="Verdana" w:hAnsi="Verdana" w:cs="Verdana"/>
          <w:color w:val="000000" w:themeColor="text1"/>
          <w:lang w:val="en-US"/>
        </w:rPr>
        <w:t xml:space="preserve">research </w:t>
      </w:r>
      <w:r w:rsidRPr="006572C7">
        <w:rPr>
          <w:rFonts w:ascii="Verdana" w:eastAsia="Verdana" w:hAnsi="Verdana" w:cs="Verdana"/>
          <w:color w:val="000000" w:themeColor="text1"/>
          <w:lang w:val="en-US"/>
        </w:rPr>
        <w:t xml:space="preserve">about broad lived experiences to contextualize this quantitative </w:t>
      </w:r>
      <w:r w:rsidR="00953346">
        <w:rPr>
          <w:rFonts w:ascii="Verdana" w:eastAsia="Verdana" w:hAnsi="Verdana" w:cs="Verdana"/>
          <w:color w:val="000000" w:themeColor="text1"/>
          <w:lang w:val="en-US"/>
        </w:rPr>
        <w:t>data</w:t>
      </w:r>
      <w:r w:rsidRPr="006572C7">
        <w:rPr>
          <w:rFonts w:ascii="Verdana" w:eastAsia="Verdana" w:hAnsi="Verdana" w:cs="Verdana"/>
          <w:color w:val="000000" w:themeColor="text1"/>
          <w:lang w:val="en-US"/>
        </w:rPr>
        <w:t xml:space="preserve">. </w:t>
      </w:r>
      <w:r w:rsidR="00953346">
        <w:rPr>
          <w:rFonts w:ascii="Verdana" w:eastAsia="Verdana" w:hAnsi="Verdana" w:cs="Verdana"/>
          <w:color w:val="000000" w:themeColor="text1"/>
          <w:lang w:val="en-US"/>
        </w:rPr>
        <w:t xml:space="preserve">We also need more innovative methods of collecting data to ensure better representation of broad lived experiences of a range of EDI issues. </w:t>
      </w:r>
    </w:p>
    <w:p w14:paraId="417609B3" w14:textId="77777777" w:rsidR="000D729B" w:rsidRPr="00347FD2" w:rsidRDefault="000D729B" w:rsidP="000D729B">
      <w:pPr>
        <w:spacing w:after="160" w:line="259" w:lineRule="auto"/>
        <w:rPr>
          <w:rFonts w:ascii="Verdana" w:eastAsia="Verdana" w:hAnsi="Verdana" w:cs="Verdana"/>
          <w:b/>
          <w:bCs/>
          <w:color w:val="000000" w:themeColor="text1"/>
          <w:lang w:val="en-US"/>
        </w:rPr>
      </w:pPr>
    </w:p>
    <w:p w14:paraId="685EF769" w14:textId="77777777" w:rsidR="000D729B" w:rsidRPr="00347FD2" w:rsidRDefault="000D729B" w:rsidP="000D729B">
      <w:pPr>
        <w:pStyle w:val="ListParagraph"/>
        <w:numPr>
          <w:ilvl w:val="0"/>
          <w:numId w:val="46"/>
        </w:numPr>
        <w:spacing w:after="160" w:line="259" w:lineRule="auto"/>
        <w:rPr>
          <w:rFonts w:ascii="Verdana" w:eastAsia="Verdana" w:hAnsi="Verdana" w:cs="Verdana"/>
          <w:b/>
          <w:bCs/>
          <w:color w:val="000000" w:themeColor="text1"/>
          <w:lang w:val="en-US"/>
        </w:rPr>
      </w:pPr>
      <w:r w:rsidRPr="00347FD2">
        <w:rPr>
          <w:rFonts w:ascii="Verdana" w:eastAsia="Verdana" w:hAnsi="Verdana" w:cs="Verdana"/>
          <w:b/>
          <w:bCs/>
          <w:color w:val="000000" w:themeColor="text1"/>
          <w:lang w:val="en-US"/>
        </w:rPr>
        <w:t xml:space="preserve">Decrease administrative processes that impede </w:t>
      </w:r>
      <w:proofErr w:type="gramStart"/>
      <w:r w:rsidRPr="00347FD2">
        <w:rPr>
          <w:rFonts w:ascii="Verdana" w:eastAsia="Verdana" w:hAnsi="Verdana" w:cs="Verdana"/>
          <w:b/>
          <w:bCs/>
          <w:color w:val="000000" w:themeColor="text1"/>
          <w:lang w:val="en-US"/>
        </w:rPr>
        <w:t>EDI</w:t>
      </w:r>
      <w:proofErr w:type="gramEnd"/>
    </w:p>
    <w:p w14:paraId="0BEDF617" w14:textId="634275EC" w:rsidR="000D729B" w:rsidRPr="00347FD2" w:rsidRDefault="000D729B" w:rsidP="000D729B">
      <w:pPr>
        <w:spacing w:after="160" w:line="259" w:lineRule="auto"/>
        <w:rPr>
          <w:rFonts w:ascii="Verdana" w:eastAsia="Verdana" w:hAnsi="Verdana" w:cs="Verdana"/>
          <w:color w:val="000000" w:themeColor="text1"/>
          <w:lang w:val="en-US"/>
        </w:rPr>
      </w:pPr>
      <w:r w:rsidRPr="00347FD2">
        <w:rPr>
          <w:rFonts w:ascii="Verdana" w:eastAsia="Verdana" w:hAnsi="Verdana" w:cs="Verdana"/>
          <w:color w:val="000000" w:themeColor="text1"/>
          <w:lang w:val="en-US"/>
        </w:rPr>
        <w:t>Individuals should be empowered to respond to EDI issues autonomously, but in alignment with the broader connected goals of their department and institution. Process</w:t>
      </w:r>
      <w:r w:rsidR="002E3448">
        <w:rPr>
          <w:rFonts w:ascii="Verdana" w:eastAsia="Verdana" w:hAnsi="Verdana" w:cs="Verdana"/>
          <w:color w:val="000000" w:themeColor="text1"/>
          <w:lang w:val="en-US"/>
        </w:rPr>
        <w:t>es</w:t>
      </w:r>
      <w:r w:rsidRPr="00347FD2">
        <w:rPr>
          <w:rFonts w:ascii="Verdana" w:eastAsia="Verdana" w:hAnsi="Verdana" w:cs="Verdana"/>
          <w:color w:val="000000" w:themeColor="text1"/>
          <w:lang w:val="en-US"/>
        </w:rPr>
        <w:t xml:space="preserve"> to access support should be simplified. EDI is not on</w:t>
      </w:r>
      <w:r w:rsidR="00953346">
        <w:rPr>
          <w:rFonts w:ascii="Verdana" w:eastAsia="Verdana" w:hAnsi="Verdana" w:cs="Verdana"/>
          <w:color w:val="000000" w:themeColor="text1"/>
          <w:lang w:val="en-US"/>
        </w:rPr>
        <w:t>e</w:t>
      </w:r>
      <w:r w:rsidRPr="00347FD2">
        <w:rPr>
          <w:rFonts w:ascii="Verdana" w:eastAsia="Verdana" w:hAnsi="Verdana" w:cs="Verdana"/>
          <w:color w:val="000000" w:themeColor="text1"/>
          <w:lang w:val="en-US"/>
        </w:rPr>
        <w:t xml:space="preserve"> single entity and </w:t>
      </w:r>
      <w:r w:rsidR="00E33756">
        <w:rPr>
          <w:rFonts w:ascii="Verdana" w:eastAsia="Verdana" w:hAnsi="Verdana" w:cs="Verdana"/>
          <w:color w:val="000000" w:themeColor="text1"/>
          <w:lang w:val="en-US"/>
        </w:rPr>
        <w:t>there is a need for</w:t>
      </w:r>
      <w:r w:rsidRPr="00347FD2">
        <w:rPr>
          <w:rFonts w:ascii="Verdana" w:eastAsia="Verdana" w:hAnsi="Verdana" w:cs="Verdana"/>
          <w:color w:val="000000" w:themeColor="text1"/>
          <w:lang w:val="en-US"/>
        </w:rPr>
        <w:t xml:space="preserve"> greater connectiv</w:t>
      </w:r>
      <w:r w:rsidR="00E33756">
        <w:rPr>
          <w:rFonts w:ascii="Verdana" w:eastAsia="Verdana" w:hAnsi="Verdana" w:cs="Verdana"/>
          <w:color w:val="000000" w:themeColor="text1"/>
          <w:lang w:val="en-US"/>
        </w:rPr>
        <w:t>it</w:t>
      </w:r>
      <w:r w:rsidRPr="00347FD2">
        <w:rPr>
          <w:rFonts w:ascii="Verdana" w:eastAsia="Verdana" w:hAnsi="Verdana" w:cs="Verdana"/>
          <w:color w:val="000000" w:themeColor="text1"/>
          <w:lang w:val="en-US"/>
        </w:rPr>
        <w:t>y between institutional strategic priorities and the needs identified at disciplinary or departmental level.</w:t>
      </w:r>
    </w:p>
    <w:p w14:paraId="430693F1" w14:textId="77777777" w:rsidR="000D729B" w:rsidRDefault="000D729B" w:rsidP="000D729B">
      <w:pPr>
        <w:spacing w:after="160" w:line="259" w:lineRule="auto"/>
        <w:rPr>
          <w:rFonts w:ascii="Verdana" w:eastAsia="Verdana" w:hAnsi="Verdana" w:cs="Verdana"/>
          <w:color w:val="000000" w:themeColor="text1"/>
          <w:lang w:val="en-US"/>
        </w:rPr>
      </w:pPr>
    </w:p>
    <w:p w14:paraId="5BB4B11D" w14:textId="77777777" w:rsidR="00DC7DB4" w:rsidRPr="00347FD2" w:rsidRDefault="00DC7DB4" w:rsidP="000D729B">
      <w:pPr>
        <w:spacing w:after="160" w:line="259" w:lineRule="auto"/>
        <w:rPr>
          <w:rFonts w:ascii="Verdana" w:eastAsia="Verdana" w:hAnsi="Verdana" w:cs="Verdana"/>
          <w:color w:val="000000" w:themeColor="text1"/>
          <w:lang w:val="en-US"/>
        </w:rPr>
      </w:pPr>
    </w:p>
    <w:p w14:paraId="6E66583E" w14:textId="77777777" w:rsidR="000D729B" w:rsidRPr="00347FD2" w:rsidRDefault="000D729B" w:rsidP="000D729B">
      <w:pPr>
        <w:pStyle w:val="ListParagraph"/>
        <w:numPr>
          <w:ilvl w:val="0"/>
          <w:numId w:val="46"/>
        </w:numPr>
        <w:spacing w:after="160" w:line="259" w:lineRule="auto"/>
        <w:rPr>
          <w:rFonts w:ascii="Verdana" w:eastAsia="Verdana" w:hAnsi="Verdana" w:cs="Verdana"/>
          <w:b/>
          <w:bCs/>
          <w:color w:val="000000" w:themeColor="text1"/>
          <w:lang w:val="en-US"/>
        </w:rPr>
      </w:pPr>
      <w:r w:rsidRPr="00347FD2">
        <w:rPr>
          <w:rFonts w:ascii="Verdana" w:eastAsia="Verdana" w:hAnsi="Verdana" w:cs="Verdana"/>
          <w:b/>
          <w:bCs/>
          <w:color w:val="000000" w:themeColor="text1"/>
          <w:lang w:val="en-US"/>
        </w:rPr>
        <w:lastRenderedPageBreak/>
        <w:t>Support staff</w:t>
      </w:r>
    </w:p>
    <w:p w14:paraId="6B99DAD4" w14:textId="62CC8A44" w:rsidR="00C02710" w:rsidRDefault="000D729B" w:rsidP="000D729B">
      <w:pPr>
        <w:spacing w:after="160" w:line="259" w:lineRule="auto"/>
        <w:rPr>
          <w:rFonts w:ascii="Verdana" w:eastAsia="Verdana" w:hAnsi="Verdana" w:cs="Verdana"/>
          <w:color w:val="000000" w:themeColor="text1"/>
          <w:lang w:val="en-US"/>
        </w:rPr>
      </w:pPr>
      <w:r w:rsidRPr="00347FD2">
        <w:rPr>
          <w:rFonts w:ascii="Verdana" w:eastAsia="Verdana" w:hAnsi="Verdana" w:cs="Verdana"/>
          <w:color w:val="000000" w:themeColor="text1"/>
          <w:lang w:val="en-US"/>
        </w:rPr>
        <w:t xml:space="preserve">There should be dedicated time for EDI included in workloads to enable colleagues to undertake this work in a meaningful way. This work should be recognized and valued appropriately in promotion processes and there should be disaggregated data collection in relation to staff promotions to make gender gaps and other data gaps more visible. </w:t>
      </w:r>
    </w:p>
    <w:p w14:paraId="08AE2D84" w14:textId="77777777" w:rsidR="003B5470" w:rsidRPr="00347FD2" w:rsidRDefault="003B5470" w:rsidP="000D729B">
      <w:pPr>
        <w:spacing w:after="160" w:line="259" w:lineRule="auto"/>
        <w:rPr>
          <w:rFonts w:ascii="Verdana" w:eastAsia="Verdana" w:hAnsi="Verdana" w:cs="Verdana"/>
          <w:color w:val="000000" w:themeColor="text1"/>
          <w:lang w:val="en-US"/>
        </w:rPr>
      </w:pPr>
    </w:p>
    <w:p w14:paraId="2A7163EB" w14:textId="77777777" w:rsidR="000D729B" w:rsidRPr="00347FD2" w:rsidRDefault="000D729B" w:rsidP="000D729B">
      <w:pPr>
        <w:pStyle w:val="ListParagraph"/>
        <w:numPr>
          <w:ilvl w:val="0"/>
          <w:numId w:val="46"/>
        </w:numPr>
        <w:spacing w:after="160" w:line="259" w:lineRule="auto"/>
        <w:rPr>
          <w:rFonts w:ascii="Verdana" w:eastAsia="Verdana" w:hAnsi="Verdana" w:cs="Verdana"/>
          <w:b/>
          <w:bCs/>
          <w:color w:val="000000" w:themeColor="text1"/>
          <w:lang w:val="en-US"/>
        </w:rPr>
      </w:pPr>
      <w:r w:rsidRPr="00347FD2">
        <w:rPr>
          <w:rFonts w:ascii="Verdana" w:eastAsia="Verdana" w:hAnsi="Verdana" w:cs="Verdana"/>
          <w:b/>
          <w:bCs/>
          <w:color w:val="000000" w:themeColor="text1"/>
          <w:lang w:val="en-US"/>
        </w:rPr>
        <w:t>Support students</w:t>
      </w:r>
    </w:p>
    <w:p w14:paraId="61F117DC" w14:textId="485AAC55" w:rsidR="000D729B" w:rsidRPr="00347FD2" w:rsidRDefault="001F0720" w:rsidP="000D729B">
      <w:pPr>
        <w:spacing w:after="160" w:line="259" w:lineRule="auto"/>
        <w:rPr>
          <w:rFonts w:ascii="Verdana" w:eastAsia="Verdana" w:hAnsi="Verdana" w:cs="Verdana"/>
          <w:color w:val="000000" w:themeColor="text1"/>
          <w:lang w:val="en-US"/>
        </w:rPr>
      </w:pPr>
      <w:r>
        <w:rPr>
          <w:rFonts w:ascii="Verdana" w:eastAsia="Verdana" w:hAnsi="Verdana" w:cs="Verdana"/>
          <w:color w:val="000000" w:themeColor="text1"/>
          <w:lang w:val="en-US"/>
        </w:rPr>
        <w:t>Continued support</w:t>
      </w:r>
      <w:r w:rsidR="000D729B" w:rsidRPr="00347FD2">
        <w:rPr>
          <w:rFonts w:ascii="Verdana" w:eastAsia="Verdana" w:hAnsi="Verdana" w:cs="Verdana"/>
          <w:color w:val="000000" w:themeColor="text1"/>
          <w:lang w:val="en-US"/>
        </w:rPr>
        <w:t xml:space="preserve"> for widening participation </w:t>
      </w:r>
      <w:r>
        <w:rPr>
          <w:rFonts w:ascii="Verdana" w:eastAsia="Verdana" w:hAnsi="Verdana" w:cs="Verdana"/>
          <w:color w:val="000000" w:themeColor="text1"/>
          <w:lang w:val="en-US"/>
        </w:rPr>
        <w:t>initiatives to support diverse recruitment is impo</w:t>
      </w:r>
      <w:r w:rsidR="00C62251">
        <w:rPr>
          <w:rFonts w:ascii="Verdana" w:eastAsia="Verdana" w:hAnsi="Verdana" w:cs="Verdana"/>
          <w:color w:val="000000" w:themeColor="text1"/>
          <w:lang w:val="en-US"/>
        </w:rPr>
        <w:t>rt</w:t>
      </w:r>
      <w:r w:rsidR="00A8636C">
        <w:rPr>
          <w:rFonts w:ascii="Verdana" w:eastAsia="Verdana" w:hAnsi="Verdana" w:cs="Verdana"/>
          <w:color w:val="000000" w:themeColor="text1"/>
          <w:lang w:val="en-US"/>
        </w:rPr>
        <w:t>ant. Equally, support focused on transitions, both to university and throughout the degree, for all students should be provided with a balance between institutional and subject-specific s</w:t>
      </w:r>
      <w:r w:rsidR="006138BA">
        <w:rPr>
          <w:rFonts w:ascii="Verdana" w:eastAsia="Verdana" w:hAnsi="Verdana" w:cs="Verdana"/>
          <w:color w:val="000000" w:themeColor="text1"/>
          <w:lang w:val="en-US"/>
        </w:rPr>
        <w:t>chemes</w:t>
      </w:r>
      <w:r w:rsidR="00A8636C">
        <w:rPr>
          <w:rFonts w:ascii="Verdana" w:eastAsia="Verdana" w:hAnsi="Verdana" w:cs="Verdana"/>
          <w:color w:val="000000" w:themeColor="text1"/>
          <w:lang w:val="en-US"/>
        </w:rPr>
        <w:t xml:space="preserve"> and a focus on a wide range of EDI indicators. Enhanced data collection would support this. </w:t>
      </w:r>
      <w:r w:rsidR="000D729B" w:rsidRPr="00347FD2">
        <w:rPr>
          <w:rFonts w:ascii="Verdana" w:eastAsia="Verdana" w:hAnsi="Verdana" w:cs="Verdana"/>
          <w:color w:val="000000" w:themeColor="text1"/>
          <w:lang w:val="en-US"/>
        </w:rPr>
        <w:t xml:space="preserve">Awareness and provision of specific support and funding for Black and ethnic minority groups to </w:t>
      </w:r>
      <w:r w:rsidR="002E3448">
        <w:rPr>
          <w:rFonts w:ascii="Verdana" w:eastAsia="Verdana" w:hAnsi="Verdana" w:cs="Verdana"/>
          <w:color w:val="000000" w:themeColor="text1"/>
          <w:lang w:val="en-US"/>
        </w:rPr>
        <w:t>undertake</w:t>
      </w:r>
      <w:r w:rsidR="000D729B" w:rsidRPr="00347FD2">
        <w:rPr>
          <w:rFonts w:ascii="Verdana" w:eastAsia="Verdana" w:hAnsi="Verdana" w:cs="Verdana"/>
          <w:color w:val="000000" w:themeColor="text1"/>
          <w:lang w:val="en-US"/>
        </w:rPr>
        <w:t xml:space="preserve"> history PhDs should be increased</w:t>
      </w:r>
      <w:r w:rsidR="00A8636C">
        <w:rPr>
          <w:rFonts w:ascii="Verdana" w:eastAsia="Verdana" w:hAnsi="Verdana" w:cs="Verdana"/>
          <w:color w:val="000000" w:themeColor="text1"/>
          <w:lang w:val="en-US"/>
        </w:rPr>
        <w:t>.</w:t>
      </w:r>
    </w:p>
    <w:p w14:paraId="792D4DA7" w14:textId="77777777" w:rsidR="000D729B" w:rsidRPr="00347FD2" w:rsidRDefault="000D729B" w:rsidP="000D729B">
      <w:pPr>
        <w:spacing w:after="160" w:line="259" w:lineRule="auto"/>
        <w:rPr>
          <w:rFonts w:ascii="Verdana" w:eastAsia="Verdana" w:hAnsi="Verdana" w:cs="Verdana"/>
          <w:color w:val="000000" w:themeColor="text1"/>
          <w:lang w:val="en-US"/>
        </w:rPr>
      </w:pPr>
    </w:p>
    <w:p w14:paraId="0529261B" w14:textId="54709921" w:rsidR="00953346" w:rsidRPr="009E6CA2" w:rsidRDefault="000D729B" w:rsidP="000D729B">
      <w:pPr>
        <w:pStyle w:val="ListParagraph"/>
        <w:numPr>
          <w:ilvl w:val="0"/>
          <w:numId w:val="46"/>
        </w:numPr>
        <w:spacing w:after="160" w:line="259" w:lineRule="auto"/>
        <w:rPr>
          <w:rFonts w:ascii="Verdana" w:eastAsia="Verdana" w:hAnsi="Verdana" w:cs="Verdana"/>
          <w:b/>
          <w:bCs/>
          <w:color w:val="000000" w:themeColor="text1"/>
          <w:lang w:val="en-US"/>
        </w:rPr>
      </w:pPr>
      <w:r w:rsidRPr="00347FD2">
        <w:rPr>
          <w:rFonts w:ascii="Verdana" w:eastAsia="Verdana" w:hAnsi="Verdana" w:cs="Verdana"/>
          <w:b/>
          <w:bCs/>
          <w:color w:val="000000" w:themeColor="text1"/>
          <w:lang w:val="en-US"/>
        </w:rPr>
        <w:t>Increase Inclusion</w:t>
      </w:r>
    </w:p>
    <w:p w14:paraId="2FA0DC4C" w14:textId="7B4EE80C" w:rsidR="000D729B" w:rsidRPr="00347FD2" w:rsidRDefault="000D729B" w:rsidP="000D729B">
      <w:pPr>
        <w:spacing w:after="160" w:line="259" w:lineRule="auto"/>
        <w:rPr>
          <w:rFonts w:ascii="Verdana" w:eastAsia="Verdana" w:hAnsi="Verdana" w:cs="Verdana"/>
          <w:color w:val="000000" w:themeColor="text1"/>
          <w:lang w:val="en-US"/>
        </w:rPr>
      </w:pPr>
      <w:r w:rsidRPr="00347FD2">
        <w:rPr>
          <w:rFonts w:ascii="Verdana" w:eastAsia="Verdana" w:hAnsi="Verdana" w:cs="Verdana"/>
          <w:color w:val="000000" w:themeColor="text1"/>
          <w:lang w:val="en-US"/>
        </w:rPr>
        <w:t xml:space="preserve">Disability should be consistently considered within the remit of EDI work, and further work on disability in relation to History and its teaching is urgently needed to make history truly accessible. </w:t>
      </w:r>
    </w:p>
    <w:p w14:paraId="49300BC7" w14:textId="77777777" w:rsidR="000D729B" w:rsidRPr="00347FD2" w:rsidRDefault="000D729B" w:rsidP="000D729B">
      <w:pPr>
        <w:spacing w:after="160" w:line="259" w:lineRule="auto"/>
        <w:rPr>
          <w:rFonts w:ascii="Verdana" w:eastAsia="Verdana" w:hAnsi="Verdana" w:cs="Verdana"/>
          <w:b/>
          <w:bCs/>
          <w:color w:val="000000" w:themeColor="text1"/>
          <w:lang w:val="en-US"/>
        </w:rPr>
      </w:pPr>
    </w:p>
    <w:p w14:paraId="5340A5A9" w14:textId="77777777" w:rsidR="000D729B" w:rsidRPr="00347FD2" w:rsidRDefault="000D729B" w:rsidP="000D729B">
      <w:pPr>
        <w:pStyle w:val="ListParagraph"/>
        <w:numPr>
          <w:ilvl w:val="0"/>
          <w:numId w:val="46"/>
        </w:numPr>
        <w:spacing w:after="160" w:line="259" w:lineRule="auto"/>
        <w:rPr>
          <w:rFonts w:ascii="Verdana" w:eastAsia="Verdana" w:hAnsi="Verdana" w:cs="Verdana"/>
          <w:b/>
          <w:bCs/>
          <w:color w:val="000000" w:themeColor="text1"/>
        </w:rPr>
      </w:pPr>
      <w:r w:rsidRPr="00347FD2">
        <w:rPr>
          <w:rFonts w:ascii="Verdana" w:eastAsia="Verdana" w:hAnsi="Verdana" w:cs="Verdana"/>
          <w:b/>
          <w:bCs/>
          <w:color w:val="000000" w:themeColor="text1"/>
          <w:lang w:val="en-US"/>
        </w:rPr>
        <w:t xml:space="preserve">Use </w:t>
      </w:r>
      <w:r>
        <w:rPr>
          <w:rFonts w:ascii="Verdana" w:eastAsia="Verdana" w:hAnsi="Verdana" w:cs="Verdana"/>
          <w:b/>
          <w:bCs/>
          <w:color w:val="000000" w:themeColor="text1"/>
          <w:lang w:val="en-US"/>
        </w:rPr>
        <w:t xml:space="preserve">of </w:t>
      </w:r>
      <w:r w:rsidRPr="00347FD2">
        <w:rPr>
          <w:rFonts w:ascii="Verdana" w:eastAsia="Verdana" w:hAnsi="Verdana" w:cs="Verdana"/>
          <w:b/>
          <w:bCs/>
          <w:color w:val="000000" w:themeColor="text1"/>
          <w:lang w:val="en-US"/>
        </w:rPr>
        <w:t xml:space="preserve">the </w:t>
      </w:r>
      <w:r>
        <w:rPr>
          <w:rFonts w:ascii="Verdana" w:eastAsia="Verdana" w:hAnsi="Verdana" w:cs="Verdana"/>
          <w:b/>
          <w:bCs/>
          <w:color w:val="000000" w:themeColor="text1"/>
          <w:lang w:val="en-US"/>
        </w:rPr>
        <w:t xml:space="preserve">history </w:t>
      </w:r>
      <w:r w:rsidRPr="00347FD2">
        <w:rPr>
          <w:rFonts w:ascii="Verdana" w:eastAsia="Verdana" w:hAnsi="Verdana" w:cs="Verdana"/>
          <w:b/>
          <w:bCs/>
          <w:color w:val="000000" w:themeColor="text1"/>
          <w:lang w:val="en-US"/>
        </w:rPr>
        <w:t xml:space="preserve">curriculum </w:t>
      </w:r>
    </w:p>
    <w:p w14:paraId="73F3269A" w14:textId="454FA041" w:rsidR="000D729B" w:rsidRDefault="000D729B" w:rsidP="000D729B">
      <w:pPr>
        <w:spacing w:line="276" w:lineRule="auto"/>
        <w:rPr>
          <w:rFonts w:ascii="Verdana" w:eastAsia="Verdana" w:hAnsi="Verdana" w:cs="Verdana"/>
          <w:color w:val="000000" w:themeColor="text1"/>
        </w:rPr>
      </w:pPr>
      <w:r w:rsidRPr="00347FD2">
        <w:rPr>
          <w:rFonts w:ascii="Verdana" w:eastAsia="Verdana" w:hAnsi="Verdana" w:cs="Verdana"/>
          <w:color w:val="000000" w:themeColor="text1"/>
        </w:rPr>
        <w:t>Support (time and resources) is crucial to developing and evaluating more diverse curricula and inclusive pedagogical practice embracing all aspects of teaching, learning and assessment. The study of history has an important role in engaging with and responding to a range of global challenges and thus subject-specific</w:t>
      </w:r>
      <w:r w:rsidR="00CF72D0">
        <w:rPr>
          <w:rFonts w:ascii="Verdana" w:eastAsia="Verdana" w:hAnsi="Verdana" w:cs="Verdana"/>
          <w:color w:val="000000" w:themeColor="text1"/>
        </w:rPr>
        <w:t xml:space="preserve"> approaches should be emphasised in EDI pedagogy.</w:t>
      </w:r>
    </w:p>
    <w:p w14:paraId="55696721" w14:textId="77777777" w:rsidR="00C02710" w:rsidRDefault="00C02710" w:rsidP="000D729B">
      <w:pPr>
        <w:spacing w:line="276" w:lineRule="auto"/>
        <w:rPr>
          <w:rFonts w:ascii="Verdana" w:eastAsia="Verdana" w:hAnsi="Verdana" w:cs="Verdana"/>
          <w:color w:val="000000" w:themeColor="text1"/>
        </w:rPr>
      </w:pPr>
    </w:p>
    <w:p w14:paraId="50A03D05" w14:textId="77777777" w:rsidR="00C02710" w:rsidRDefault="00C02710" w:rsidP="000D729B">
      <w:pPr>
        <w:spacing w:line="276" w:lineRule="auto"/>
        <w:rPr>
          <w:rFonts w:ascii="Verdana" w:eastAsia="Verdana" w:hAnsi="Verdana" w:cs="Verdana"/>
          <w:color w:val="000000" w:themeColor="text1"/>
        </w:rPr>
      </w:pPr>
    </w:p>
    <w:p w14:paraId="138B42DA" w14:textId="77777777" w:rsidR="00C02710" w:rsidRDefault="00C02710" w:rsidP="000D729B">
      <w:pPr>
        <w:spacing w:line="276" w:lineRule="auto"/>
        <w:rPr>
          <w:rFonts w:ascii="Verdana" w:eastAsia="Verdana" w:hAnsi="Verdana" w:cs="Verdana"/>
          <w:color w:val="000000" w:themeColor="text1"/>
        </w:rPr>
      </w:pPr>
    </w:p>
    <w:p w14:paraId="1BB23B27" w14:textId="77777777" w:rsidR="00C02710" w:rsidRDefault="00C02710" w:rsidP="000D729B">
      <w:pPr>
        <w:spacing w:line="276" w:lineRule="auto"/>
        <w:rPr>
          <w:rFonts w:ascii="Verdana" w:eastAsia="Verdana" w:hAnsi="Verdana" w:cs="Verdana"/>
          <w:color w:val="000000" w:themeColor="text1"/>
        </w:rPr>
      </w:pPr>
    </w:p>
    <w:p w14:paraId="0BB2B5BA" w14:textId="77777777" w:rsidR="00C02710" w:rsidRDefault="00C02710" w:rsidP="000D729B">
      <w:pPr>
        <w:spacing w:line="276" w:lineRule="auto"/>
        <w:rPr>
          <w:rFonts w:ascii="Verdana" w:eastAsia="Verdana" w:hAnsi="Verdana" w:cs="Verdana"/>
          <w:color w:val="000000" w:themeColor="text1"/>
        </w:rPr>
      </w:pPr>
    </w:p>
    <w:p w14:paraId="04126F8A" w14:textId="77777777" w:rsidR="00610C39" w:rsidRDefault="00610C39" w:rsidP="0B4088E5">
      <w:pPr>
        <w:spacing w:line="276" w:lineRule="auto"/>
        <w:rPr>
          <w:rFonts w:ascii="Verdana" w:eastAsia="Verdana" w:hAnsi="Verdana" w:cs="Verdana"/>
          <w:color w:val="000000" w:themeColor="text1"/>
        </w:rPr>
      </w:pPr>
    </w:p>
    <w:p w14:paraId="66F06EA1" w14:textId="6CBC6294" w:rsidR="6BCDB796" w:rsidRPr="00CB6921" w:rsidRDefault="00AC2B57" w:rsidP="00061DE5">
      <w:pPr>
        <w:pStyle w:val="Heading1"/>
      </w:pPr>
      <w:r>
        <w:lastRenderedPageBreak/>
        <w:t>Introduction</w:t>
      </w:r>
    </w:p>
    <w:p w14:paraId="24A52845" w14:textId="6EA079CD" w:rsidR="00F750F9" w:rsidRPr="001927CF" w:rsidRDefault="3441D71D" w:rsidP="0B4088E5">
      <w:pPr>
        <w:spacing w:line="276" w:lineRule="auto"/>
        <w:rPr>
          <w:rFonts w:ascii="Verdana" w:hAnsi="Verdana"/>
          <w:color w:val="000000" w:themeColor="text1"/>
        </w:rPr>
      </w:pPr>
      <w:r w:rsidRPr="0B4088E5">
        <w:rPr>
          <w:rFonts w:ascii="Verdana" w:hAnsi="Verdana"/>
          <w:color w:val="000000" w:themeColor="text1"/>
        </w:rPr>
        <w:t xml:space="preserve">This report presents the findings of the History UK </w:t>
      </w:r>
      <w:r w:rsidR="15A23443" w:rsidRPr="0B4088E5">
        <w:rPr>
          <w:rFonts w:ascii="Verdana" w:hAnsi="Verdana"/>
          <w:color w:val="000000" w:themeColor="text1"/>
        </w:rPr>
        <w:t xml:space="preserve">(HUK) </w:t>
      </w:r>
      <w:r w:rsidRPr="0B4088E5">
        <w:rPr>
          <w:rFonts w:ascii="Verdana" w:hAnsi="Verdana"/>
          <w:color w:val="000000" w:themeColor="text1"/>
        </w:rPr>
        <w:t xml:space="preserve">inclusive pedagogies project </w:t>
      </w:r>
      <w:r w:rsidR="5502DC9E" w:rsidRPr="0B4088E5">
        <w:rPr>
          <w:rFonts w:ascii="Verdana" w:hAnsi="Verdana"/>
          <w:color w:val="000000" w:themeColor="text1"/>
        </w:rPr>
        <w:t>co-</w:t>
      </w:r>
      <w:r w:rsidRPr="0B4088E5">
        <w:rPr>
          <w:rFonts w:ascii="Verdana" w:hAnsi="Verdana"/>
          <w:color w:val="000000" w:themeColor="text1"/>
        </w:rPr>
        <w:t xml:space="preserve">led by Dr Sarah Holland </w:t>
      </w:r>
      <w:r w:rsidR="15A23443" w:rsidRPr="0B4088E5">
        <w:rPr>
          <w:rFonts w:ascii="Verdana" w:hAnsi="Verdana"/>
          <w:color w:val="000000" w:themeColor="text1"/>
        </w:rPr>
        <w:t xml:space="preserve">(University of Nottingham) </w:t>
      </w:r>
      <w:r w:rsidRPr="0B4088E5">
        <w:rPr>
          <w:rFonts w:ascii="Verdana" w:hAnsi="Verdana"/>
          <w:color w:val="000000" w:themeColor="text1"/>
        </w:rPr>
        <w:t>and Dr Adam Budd</w:t>
      </w:r>
      <w:r w:rsidR="15A23443" w:rsidRPr="0B4088E5">
        <w:rPr>
          <w:rFonts w:ascii="Verdana" w:hAnsi="Verdana"/>
          <w:color w:val="000000" w:themeColor="text1"/>
        </w:rPr>
        <w:t xml:space="preserve"> (University of Edinburgh)</w:t>
      </w:r>
      <w:r w:rsidRPr="0B4088E5">
        <w:rPr>
          <w:rFonts w:ascii="Verdana" w:hAnsi="Verdana"/>
          <w:color w:val="000000" w:themeColor="text1"/>
        </w:rPr>
        <w:t>.</w:t>
      </w:r>
      <w:r w:rsidR="4A3BE004" w:rsidRPr="0B4088E5">
        <w:rPr>
          <w:rFonts w:ascii="Verdana" w:hAnsi="Verdana"/>
          <w:color w:val="000000" w:themeColor="text1"/>
        </w:rPr>
        <w:t xml:space="preserve"> </w:t>
      </w:r>
      <w:r w:rsidR="3F6E073D" w:rsidRPr="0B4088E5">
        <w:rPr>
          <w:rFonts w:ascii="Verdana" w:hAnsi="Verdana"/>
          <w:color w:val="000000" w:themeColor="text1"/>
        </w:rPr>
        <w:t>It considers key priorities</w:t>
      </w:r>
      <w:r w:rsidR="359E498E" w:rsidRPr="0B4088E5">
        <w:rPr>
          <w:rFonts w:ascii="Verdana" w:hAnsi="Verdana"/>
          <w:color w:val="000000" w:themeColor="text1"/>
        </w:rPr>
        <w:t xml:space="preserve"> relating to EDI</w:t>
      </w:r>
      <w:r w:rsidR="15A23443" w:rsidRPr="0B4088E5">
        <w:rPr>
          <w:rFonts w:ascii="Verdana" w:hAnsi="Verdana"/>
          <w:color w:val="000000" w:themeColor="text1"/>
        </w:rPr>
        <w:t xml:space="preserve"> policy and practice</w:t>
      </w:r>
      <w:r w:rsidR="359E498E" w:rsidRPr="0B4088E5">
        <w:rPr>
          <w:rFonts w:ascii="Verdana" w:hAnsi="Verdana"/>
          <w:color w:val="000000" w:themeColor="text1"/>
        </w:rPr>
        <w:t xml:space="preserve"> in history departments and curriculum-specific EDI issues.</w:t>
      </w:r>
      <w:r w:rsidR="7974B846" w:rsidRPr="0B4088E5">
        <w:rPr>
          <w:rFonts w:ascii="Verdana" w:hAnsi="Verdana"/>
          <w:color w:val="000000" w:themeColor="text1"/>
        </w:rPr>
        <w:t xml:space="preserve"> </w:t>
      </w:r>
      <w:r w:rsidR="07B0F3CF" w:rsidRPr="0B4088E5">
        <w:rPr>
          <w:rFonts w:ascii="Verdana" w:hAnsi="Verdana"/>
          <w:color w:val="000000" w:themeColor="text1"/>
        </w:rPr>
        <w:t xml:space="preserve">EDI is </w:t>
      </w:r>
      <w:r w:rsidR="5CA5E603" w:rsidRPr="0B4088E5">
        <w:rPr>
          <w:rFonts w:ascii="Verdana" w:hAnsi="Verdana"/>
          <w:color w:val="000000" w:themeColor="text1"/>
        </w:rPr>
        <w:t xml:space="preserve">often </w:t>
      </w:r>
      <w:r w:rsidR="07B0F3CF" w:rsidRPr="0B4088E5">
        <w:rPr>
          <w:rFonts w:ascii="Verdana" w:hAnsi="Verdana"/>
          <w:color w:val="000000" w:themeColor="text1"/>
        </w:rPr>
        <w:t xml:space="preserve">defined as equality, </w:t>
      </w:r>
      <w:r w:rsidR="15A23443" w:rsidRPr="0B4088E5">
        <w:rPr>
          <w:rFonts w:ascii="Verdana" w:hAnsi="Verdana"/>
          <w:color w:val="000000" w:themeColor="text1"/>
        </w:rPr>
        <w:t>diversity,</w:t>
      </w:r>
      <w:r w:rsidR="07B0F3CF" w:rsidRPr="0B4088E5">
        <w:rPr>
          <w:rFonts w:ascii="Verdana" w:hAnsi="Verdana"/>
          <w:color w:val="000000" w:themeColor="text1"/>
        </w:rPr>
        <w:t xml:space="preserve"> and inclusion, but the </w:t>
      </w:r>
      <w:r w:rsidR="15A23443" w:rsidRPr="0B4088E5">
        <w:rPr>
          <w:rFonts w:ascii="Verdana" w:hAnsi="Verdana"/>
          <w:color w:val="000000" w:themeColor="text1"/>
        </w:rPr>
        <w:t>remit</w:t>
      </w:r>
      <w:r w:rsidR="07B0F3CF" w:rsidRPr="0B4088E5">
        <w:rPr>
          <w:rFonts w:ascii="Verdana" w:hAnsi="Verdana"/>
          <w:color w:val="000000" w:themeColor="text1"/>
        </w:rPr>
        <w:t xml:space="preserve"> of EDI is changing with increasing emphasis on equity rather than equality. </w:t>
      </w:r>
      <w:r w:rsidR="15A23443" w:rsidRPr="0B4088E5">
        <w:rPr>
          <w:rFonts w:ascii="Verdana" w:hAnsi="Verdana"/>
          <w:color w:val="000000" w:themeColor="text1"/>
        </w:rPr>
        <w:t xml:space="preserve">Our </w:t>
      </w:r>
      <w:r w:rsidR="7974B846" w:rsidRPr="0B4088E5">
        <w:rPr>
          <w:rFonts w:ascii="Verdana" w:hAnsi="Verdana"/>
          <w:color w:val="000000" w:themeColor="text1"/>
        </w:rPr>
        <w:t>scope is intentionally broad</w:t>
      </w:r>
      <w:r w:rsidR="15A23443" w:rsidRPr="0B4088E5">
        <w:rPr>
          <w:rFonts w:ascii="Verdana" w:hAnsi="Verdana"/>
          <w:color w:val="000000" w:themeColor="text1"/>
        </w:rPr>
        <w:t>,</w:t>
      </w:r>
      <w:r w:rsidR="7974B846" w:rsidRPr="0B4088E5">
        <w:rPr>
          <w:rFonts w:ascii="Verdana" w:hAnsi="Verdana"/>
          <w:color w:val="000000" w:themeColor="text1"/>
        </w:rPr>
        <w:t xml:space="preserve"> covering a range of EDI issues (including gender, sexuality, race, ethnicity, disability</w:t>
      </w:r>
      <w:r w:rsidR="33010CD1" w:rsidRPr="0B4088E5">
        <w:rPr>
          <w:rFonts w:ascii="Verdana" w:hAnsi="Verdana"/>
          <w:color w:val="000000" w:themeColor="text1"/>
        </w:rPr>
        <w:t>, mental health</w:t>
      </w:r>
      <w:r w:rsidR="0F4B33C8" w:rsidRPr="0B4088E5">
        <w:rPr>
          <w:rFonts w:ascii="Verdana" w:hAnsi="Verdana"/>
          <w:color w:val="000000" w:themeColor="text1"/>
        </w:rPr>
        <w:t>, socio-economic background</w:t>
      </w:r>
      <w:r w:rsidR="7974B846" w:rsidRPr="0B4088E5">
        <w:rPr>
          <w:rFonts w:ascii="Verdana" w:hAnsi="Verdana"/>
          <w:color w:val="000000" w:themeColor="text1"/>
        </w:rPr>
        <w:t>) and a range of pedagogical issues (including curriculum design, community building and identity, awarding gaps)</w:t>
      </w:r>
      <w:r w:rsidR="3F4A66EB" w:rsidRPr="0B4088E5">
        <w:rPr>
          <w:rFonts w:ascii="Verdana" w:hAnsi="Verdana"/>
          <w:color w:val="000000" w:themeColor="text1"/>
        </w:rPr>
        <w:t xml:space="preserve">. The </w:t>
      </w:r>
      <w:r w:rsidR="64D36B87" w:rsidRPr="0B4088E5">
        <w:rPr>
          <w:rFonts w:ascii="Verdana" w:hAnsi="Verdana"/>
          <w:color w:val="000000" w:themeColor="text1"/>
        </w:rPr>
        <w:t>objectives of th</w:t>
      </w:r>
      <w:r w:rsidR="003055ED">
        <w:rPr>
          <w:rFonts w:ascii="Verdana" w:hAnsi="Verdana"/>
          <w:color w:val="000000" w:themeColor="text1"/>
        </w:rPr>
        <w:t>is</w:t>
      </w:r>
      <w:r w:rsidR="64D36B87" w:rsidRPr="0B4088E5">
        <w:rPr>
          <w:rFonts w:ascii="Verdana" w:hAnsi="Verdana"/>
          <w:color w:val="000000" w:themeColor="text1"/>
        </w:rPr>
        <w:t xml:space="preserve"> </w:t>
      </w:r>
      <w:r w:rsidR="3F4A66EB" w:rsidRPr="0B4088E5">
        <w:rPr>
          <w:rFonts w:ascii="Verdana" w:hAnsi="Verdana"/>
          <w:color w:val="000000" w:themeColor="text1"/>
        </w:rPr>
        <w:t xml:space="preserve">project </w:t>
      </w:r>
      <w:r w:rsidR="00B61481">
        <w:rPr>
          <w:rFonts w:ascii="Verdana" w:hAnsi="Verdana"/>
          <w:color w:val="000000" w:themeColor="text1"/>
        </w:rPr>
        <w:t>we</w:t>
      </w:r>
      <w:r w:rsidR="64D36B87" w:rsidRPr="0B4088E5">
        <w:rPr>
          <w:rFonts w:ascii="Verdana" w:hAnsi="Verdana"/>
          <w:color w:val="000000" w:themeColor="text1"/>
        </w:rPr>
        <w:t>re</w:t>
      </w:r>
      <w:r w:rsidR="3F4A66EB" w:rsidRPr="0B4088E5">
        <w:rPr>
          <w:rFonts w:ascii="Verdana" w:hAnsi="Verdana"/>
          <w:color w:val="000000" w:themeColor="text1"/>
        </w:rPr>
        <w:t xml:space="preserve"> t</w:t>
      </w:r>
      <w:r w:rsidR="5CFB75AB" w:rsidRPr="0B4088E5">
        <w:rPr>
          <w:rFonts w:ascii="Verdana" w:hAnsi="Verdana"/>
          <w:color w:val="000000" w:themeColor="text1"/>
        </w:rPr>
        <w:t>wo</w:t>
      </w:r>
      <w:r w:rsidR="3F4A66EB" w:rsidRPr="0B4088E5">
        <w:rPr>
          <w:rFonts w:ascii="Verdana" w:hAnsi="Verdana"/>
          <w:color w:val="000000" w:themeColor="text1"/>
        </w:rPr>
        <w:t xml:space="preserve">-fold: </w:t>
      </w:r>
      <w:r w:rsidR="15A23443" w:rsidRPr="0B4088E5">
        <w:rPr>
          <w:rFonts w:ascii="Verdana" w:hAnsi="Verdana"/>
          <w:color w:val="000000" w:themeColor="text1"/>
        </w:rPr>
        <w:t xml:space="preserve">(1) </w:t>
      </w:r>
      <w:r w:rsidR="3F4A66EB" w:rsidRPr="0B4088E5">
        <w:rPr>
          <w:rFonts w:ascii="Verdana" w:hAnsi="Verdana"/>
          <w:color w:val="000000" w:themeColor="text1"/>
        </w:rPr>
        <w:t xml:space="preserve">to examine how history departments </w:t>
      </w:r>
      <w:r w:rsidR="3F0D7FF3" w:rsidRPr="0B4088E5">
        <w:rPr>
          <w:rFonts w:ascii="Verdana" w:hAnsi="Verdana"/>
          <w:color w:val="000000" w:themeColor="text1"/>
        </w:rPr>
        <w:t>have been</w:t>
      </w:r>
      <w:r w:rsidR="3F4A66EB" w:rsidRPr="0B4088E5">
        <w:rPr>
          <w:rFonts w:ascii="Verdana" w:hAnsi="Verdana"/>
          <w:color w:val="000000" w:themeColor="text1"/>
        </w:rPr>
        <w:t xml:space="preserve"> affected by wider EDI issues</w:t>
      </w:r>
      <w:r w:rsidR="5CFB75AB" w:rsidRPr="0B4088E5">
        <w:rPr>
          <w:rFonts w:ascii="Verdana" w:hAnsi="Verdana"/>
          <w:color w:val="000000" w:themeColor="text1"/>
        </w:rPr>
        <w:t xml:space="preserve"> and (2) to identify </w:t>
      </w:r>
      <w:r w:rsidR="494FBCE6" w:rsidRPr="0B4088E5">
        <w:rPr>
          <w:rFonts w:ascii="Verdana" w:hAnsi="Verdana"/>
          <w:color w:val="000000" w:themeColor="text1"/>
        </w:rPr>
        <w:t xml:space="preserve">what </w:t>
      </w:r>
      <w:r w:rsidR="3F4A66EB" w:rsidRPr="0B4088E5">
        <w:rPr>
          <w:rFonts w:ascii="Verdana" w:hAnsi="Verdana"/>
          <w:color w:val="000000" w:themeColor="text1"/>
        </w:rPr>
        <w:t xml:space="preserve">curriculum specific </w:t>
      </w:r>
      <w:r w:rsidR="5CFB75AB" w:rsidRPr="0B4088E5">
        <w:rPr>
          <w:rFonts w:ascii="Verdana" w:hAnsi="Verdana"/>
          <w:color w:val="000000" w:themeColor="text1"/>
        </w:rPr>
        <w:t xml:space="preserve">EDI </w:t>
      </w:r>
      <w:r w:rsidR="320B55E7" w:rsidRPr="0B4088E5">
        <w:rPr>
          <w:rFonts w:ascii="Verdana" w:hAnsi="Verdana"/>
          <w:color w:val="000000" w:themeColor="text1"/>
        </w:rPr>
        <w:t>work</w:t>
      </w:r>
      <w:r w:rsidR="133E57A5" w:rsidRPr="0B4088E5">
        <w:rPr>
          <w:rFonts w:ascii="Verdana" w:hAnsi="Verdana"/>
          <w:color w:val="000000" w:themeColor="text1"/>
        </w:rPr>
        <w:t xml:space="preserve"> </w:t>
      </w:r>
      <w:r w:rsidR="494FBCE6" w:rsidRPr="0B4088E5">
        <w:rPr>
          <w:rFonts w:ascii="Verdana" w:hAnsi="Verdana"/>
          <w:color w:val="000000" w:themeColor="text1"/>
        </w:rPr>
        <w:t xml:space="preserve">is </w:t>
      </w:r>
      <w:r w:rsidR="133E57A5" w:rsidRPr="0B4088E5">
        <w:rPr>
          <w:rFonts w:ascii="Verdana" w:hAnsi="Verdana"/>
          <w:color w:val="000000" w:themeColor="text1"/>
        </w:rPr>
        <w:t>being undertaken</w:t>
      </w:r>
      <w:r w:rsidR="5CFB75AB" w:rsidRPr="0B4088E5">
        <w:rPr>
          <w:rFonts w:ascii="Verdana" w:hAnsi="Verdana"/>
          <w:color w:val="000000" w:themeColor="text1"/>
        </w:rPr>
        <w:t xml:space="preserve">. </w:t>
      </w:r>
      <w:r w:rsidR="3F4A66EB" w:rsidRPr="0B4088E5">
        <w:rPr>
          <w:rFonts w:ascii="Verdana" w:hAnsi="Verdana"/>
          <w:color w:val="000000" w:themeColor="text1"/>
        </w:rPr>
        <w:t xml:space="preserve">Although the remit of this project is </w:t>
      </w:r>
      <w:r w:rsidR="5CFB75AB" w:rsidRPr="0B4088E5">
        <w:rPr>
          <w:rFonts w:ascii="Verdana" w:hAnsi="Verdana"/>
          <w:color w:val="000000" w:themeColor="text1"/>
        </w:rPr>
        <w:t>broader</w:t>
      </w:r>
      <w:r w:rsidR="3F4A66EB" w:rsidRPr="0B4088E5">
        <w:rPr>
          <w:rFonts w:ascii="Verdana" w:hAnsi="Verdana"/>
          <w:color w:val="000000" w:themeColor="text1"/>
        </w:rPr>
        <w:t xml:space="preserve"> than pandemic pedagogy, the impact and implications of </w:t>
      </w:r>
      <w:r w:rsidR="00B61481">
        <w:rPr>
          <w:rFonts w:ascii="Verdana" w:hAnsi="Verdana"/>
          <w:color w:val="000000" w:themeColor="text1"/>
        </w:rPr>
        <w:t>COVID-19</w:t>
      </w:r>
      <w:r w:rsidR="3F4A66EB" w:rsidRPr="0B4088E5">
        <w:rPr>
          <w:rFonts w:ascii="Verdana" w:hAnsi="Verdana"/>
          <w:color w:val="000000" w:themeColor="text1"/>
        </w:rPr>
        <w:t xml:space="preserve"> pandemic </w:t>
      </w:r>
      <w:r w:rsidR="5CFB75AB" w:rsidRPr="0B4088E5">
        <w:rPr>
          <w:rFonts w:ascii="Verdana" w:hAnsi="Verdana"/>
          <w:color w:val="000000" w:themeColor="text1"/>
        </w:rPr>
        <w:t>are addressed</w:t>
      </w:r>
      <w:r w:rsidR="3F4A66EB" w:rsidRPr="0B4088E5">
        <w:rPr>
          <w:rFonts w:ascii="Verdana" w:hAnsi="Verdana"/>
          <w:color w:val="000000" w:themeColor="text1"/>
        </w:rPr>
        <w:t>.</w:t>
      </w:r>
    </w:p>
    <w:p w14:paraId="2B0FBCF6" w14:textId="1323DA54" w:rsidR="00FF37E7" w:rsidRDefault="00E63320" w:rsidP="001927CF">
      <w:pPr>
        <w:spacing w:line="276" w:lineRule="auto"/>
        <w:rPr>
          <w:rFonts w:ascii="Verdana" w:hAnsi="Verdana"/>
          <w:bCs/>
          <w:color w:val="000000" w:themeColor="text1"/>
        </w:rPr>
      </w:pPr>
      <w:r w:rsidRPr="00D25DB8">
        <w:rPr>
          <w:rFonts w:ascii="Verdana" w:hAnsi="Verdana"/>
          <w:bCs/>
          <w:color w:val="FF0000"/>
        </w:rPr>
        <w:br/>
      </w:r>
      <w:r w:rsidR="00965CEA" w:rsidRPr="00BF3C63">
        <w:rPr>
          <w:rFonts w:ascii="Verdana" w:hAnsi="Verdana"/>
          <w:bCs/>
          <w:color w:val="000000" w:themeColor="text1"/>
        </w:rPr>
        <w:t xml:space="preserve">Prior to the COVID-19 pandemic, HUK committed </w:t>
      </w:r>
      <w:r w:rsidR="00F750F9">
        <w:rPr>
          <w:rFonts w:ascii="Verdana" w:hAnsi="Verdana"/>
          <w:bCs/>
          <w:color w:val="000000" w:themeColor="text1"/>
        </w:rPr>
        <w:t xml:space="preserve">itself </w:t>
      </w:r>
      <w:r w:rsidR="00965CEA" w:rsidRPr="00BF3C63">
        <w:rPr>
          <w:rFonts w:ascii="Verdana" w:hAnsi="Verdana"/>
          <w:bCs/>
          <w:color w:val="000000" w:themeColor="text1"/>
        </w:rPr>
        <w:t xml:space="preserve">to undertaking </w:t>
      </w:r>
      <w:r w:rsidR="00F750F9">
        <w:rPr>
          <w:rFonts w:ascii="Verdana" w:hAnsi="Verdana"/>
          <w:bCs/>
          <w:color w:val="000000" w:themeColor="text1"/>
        </w:rPr>
        <w:t>research on</w:t>
      </w:r>
      <w:r w:rsidR="00965CEA" w:rsidRPr="00BF3C63">
        <w:rPr>
          <w:rFonts w:ascii="Verdana" w:hAnsi="Verdana"/>
          <w:bCs/>
          <w:color w:val="000000" w:themeColor="text1"/>
        </w:rPr>
        <w:t xml:space="preserve"> EDI</w:t>
      </w:r>
      <w:r w:rsidR="00F750F9">
        <w:rPr>
          <w:rFonts w:ascii="Verdana" w:hAnsi="Verdana"/>
          <w:bCs/>
          <w:color w:val="000000" w:themeColor="text1"/>
        </w:rPr>
        <w:t>-</w:t>
      </w:r>
      <w:r w:rsidR="00965CEA" w:rsidRPr="00BF3C63">
        <w:rPr>
          <w:rFonts w:ascii="Verdana" w:hAnsi="Verdana"/>
          <w:bCs/>
          <w:color w:val="000000" w:themeColor="text1"/>
        </w:rPr>
        <w:t>focussed pedagogy</w:t>
      </w:r>
      <w:r w:rsidR="00F750F9">
        <w:rPr>
          <w:rFonts w:ascii="Verdana" w:hAnsi="Verdana"/>
          <w:bCs/>
          <w:color w:val="000000" w:themeColor="text1"/>
        </w:rPr>
        <w:t xml:space="preserve">. We </w:t>
      </w:r>
      <w:r w:rsidR="00965CEA" w:rsidRPr="00BF3C63">
        <w:rPr>
          <w:rFonts w:ascii="Verdana" w:hAnsi="Verdana"/>
          <w:bCs/>
          <w:color w:val="000000" w:themeColor="text1"/>
        </w:rPr>
        <w:t>recognis</w:t>
      </w:r>
      <w:r w:rsidR="00F750F9">
        <w:rPr>
          <w:rFonts w:ascii="Verdana" w:hAnsi="Verdana"/>
          <w:bCs/>
          <w:color w:val="000000" w:themeColor="text1"/>
        </w:rPr>
        <w:t>ed</w:t>
      </w:r>
      <w:r w:rsidR="00965CEA" w:rsidRPr="00BF3C63">
        <w:rPr>
          <w:rFonts w:ascii="Verdana" w:hAnsi="Verdana"/>
          <w:bCs/>
          <w:color w:val="000000" w:themeColor="text1"/>
        </w:rPr>
        <w:t xml:space="preserve"> the innovative and inspiring work being undertaken in history departments </w:t>
      </w:r>
      <w:r w:rsidR="00F750F9">
        <w:rPr>
          <w:rFonts w:ascii="Verdana" w:hAnsi="Verdana"/>
          <w:bCs/>
          <w:color w:val="000000" w:themeColor="text1"/>
        </w:rPr>
        <w:t xml:space="preserve">across the UK, </w:t>
      </w:r>
      <w:r w:rsidR="00965CEA" w:rsidRPr="00BF3C63">
        <w:rPr>
          <w:rFonts w:ascii="Verdana" w:hAnsi="Verdana"/>
          <w:bCs/>
          <w:color w:val="000000" w:themeColor="text1"/>
        </w:rPr>
        <w:t>but also the challenges</w:t>
      </w:r>
      <w:r w:rsidR="00F750F9">
        <w:rPr>
          <w:rFonts w:ascii="Verdana" w:hAnsi="Verdana"/>
          <w:bCs/>
          <w:color w:val="000000" w:themeColor="text1"/>
        </w:rPr>
        <w:t xml:space="preserve"> they</w:t>
      </w:r>
      <w:r w:rsidR="00965CEA" w:rsidRPr="00BF3C63">
        <w:rPr>
          <w:rFonts w:ascii="Verdana" w:hAnsi="Verdana"/>
          <w:bCs/>
          <w:color w:val="000000" w:themeColor="text1"/>
        </w:rPr>
        <w:t xml:space="preserve"> faced, and </w:t>
      </w:r>
      <w:r w:rsidR="00F750F9">
        <w:rPr>
          <w:rFonts w:ascii="Verdana" w:hAnsi="Verdana"/>
          <w:bCs/>
          <w:color w:val="000000" w:themeColor="text1"/>
        </w:rPr>
        <w:t xml:space="preserve">so we </w:t>
      </w:r>
      <w:r w:rsidR="00965CEA" w:rsidRPr="00BF3C63">
        <w:rPr>
          <w:rFonts w:ascii="Verdana" w:hAnsi="Verdana"/>
          <w:bCs/>
          <w:color w:val="000000" w:themeColor="text1"/>
        </w:rPr>
        <w:t>proposed a project on subject</w:t>
      </w:r>
      <w:r w:rsidR="00F750F9">
        <w:rPr>
          <w:rFonts w:ascii="Verdana" w:hAnsi="Verdana"/>
          <w:bCs/>
          <w:color w:val="000000" w:themeColor="text1"/>
        </w:rPr>
        <w:t>-</w:t>
      </w:r>
      <w:r w:rsidR="00965CEA" w:rsidRPr="00BF3C63">
        <w:rPr>
          <w:rFonts w:ascii="Verdana" w:hAnsi="Verdana"/>
          <w:bCs/>
          <w:color w:val="000000" w:themeColor="text1"/>
        </w:rPr>
        <w:t xml:space="preserve">specific inclusive pedagogy. </w:t>
      </w:r>
      <w:r w:rsidR="00D8027D" w:rsidRPr="001927CF">
        <w:rPr>
          <w:rFonts w:ascii="Verdana" w:hAnsi="Verdana"/>
          <w:bCs/>
          <w:color w:val="000000" w:themeColor="text1"/>
        </w:rPr>
        <w:t xml:space="preserve">The onset of the global pandemic and the </w:t>
      </w:r>
      <w:r w:rsidR="00366ABC" w:rsidRPr="001927CF">
        <w:rPr>
          <w:rFonts w:ascii="Verdana" w:hAnsi="Verdana"/>
          <w:bCs/>
          <w:color w:val="000000" w:themeColor="text1"/>
        </w:rPr>
        <w:t xml:space="preserve">first </w:t>
      </w:r>
      <w:r w:rsidR="00D8027D" w:rsidRPr="001927CF">
        <w:rPr>
          <w:rFonts w:ascii="Verdana" w:hAnsi="Verdana"/>
          <w:bCs/>
          <w:color w:val="000000" w:themeColor="text1"/>
        </w:rPr>
        <w:t xml:space="preserve">UK lockdown </w:t>
      </w:r>
      <w:r w:rsidR="00366ABC" w:rsidRPr="001927CF">
        <w:rPr>
          <w:rFonts w:ascii="Verdana" w:hAnsi="Verdana"/>
          <w:bCs/>
          <w:color w:val="000000" w:themeColor="text1"/>
        </w:rPr>
        <w:t>of March 2020 put this project</w:t>
      </w:r>
      <w:r w:rsidR="00965CEA" w:rsidRPr="001927CF">
        <w:rPr>
          <w:rFonts w:ascii="Verdana" w:hAnsi="Verdana"/>
          <w:bCs/>
          <w:color w:val="000000" w:themeColor="text1"/>
        </w:rPr>
        <w:t xml:space="preserve"> on hold</w:t>
      </w:r>
      <w:r w:rsidR="00366ABC" w:rsidRPr="001927CF">
        <w:rPr>
          <w:rFonts w:ascii="Verdana" w:hAnsi="Verdana"/>
          <w:bCs/>
          <w:color w:val="000000" w:themeColor="text1"/>
        </w:rPr>
        <w:t xml:space="preserve">, as colleagues professionally and personally faced ‘uncertain times’. </w:t>
      </w:r>
      <w:r w:rsidR="00BF3C63" w:rsidRPr="00BF3C63">
        <w:rPr>
          <w:rFonts w:ascii="Verdana" w:hAnsi="Verdana"/>
          <w:bCs/>
          <w:color w:val="000000" w:themeColor="text1"/>
        </w:rPr>
        <w:t xml:space="preserve">However, </w:t>
      </w:r>
      <w:r w:rsidR="009C60D2" w:rsidRPr="001927CF">
        <w:rPr>
          <w:rFonts w:ascii="Verdana" w:hAnsi="Verdana"/>
          <w:bCs/>
          <w:color w:val="000000" w:themeColor="text1"/>
        </w:rPr>
        <w:t xml:space="preserve">History UK launched the </w:t>
      </w:r>
      <w:hyperlink r:id="rId9" w:history="1">
        <w:r w:rsidR="009C60D2" w:rsidRPr="00D25DB8">
          <w:rPr>
            <w:rStyle w:val="Hyperlink"/>
            <w:rFonts w:ascii="Verdana" w:hAnsi="Verdana"/>
            <w:bCs/>
          </w:rPr>
          <w:t>Pandemic Pedagogy Handbook</w:t>
        </w:r>
      </w:hyperlink>
      <w:r w:rsidR="009C60D2" w:rsidRPr="001927CF">
        <w:rPr>
          <w:rFonts w:ascii="Verdana" w:hAnsi="Verdana"/>
          <w:bCs/>
          <w:color w:val="000000" w:themeColor="text1"/>
        </w:rPr>
        <w:t xml:space="preserve"> in May 2020 to help colleagues </w:t>
      </w:r>
      <w:r w:rsidR="009B6C55" w:rsidRPr="001927CF">
        <w:rPr>
          <w:rFonts w:ascii="Verdana" w:hAnsi="Verdana"/>
          <w:bCs/>
          <w:color w:val="000000" w:themeColor="text1"/>
        </w:rPr>
        <w:t>navigate the pedagogical uncertainties they faced</w:t>
      </w:r>
      <w:r w:rsidR="006C595B" w:rsidRPr="001927CF">
        <w:rPr>
          <w:rFonts w:ascii="Verdana" w:hAnsi="Verdana"/>
          <w:bCs/>
          <w:color w:val="000000" w:themeColor="text1"/>
        </w:rPr>
        <w:t>, particularly with regards the transition to online teaching and learning.</w:t>
      </w:r>
      <w:r w:rsidR="003055ED">
        <w:rPr>
          <w:rFonts w:ascii="Verdana" w:hAnsi="Verdana"/>
          <w:bCs/>
          <w:color w:val="000000" w:themeColor="text1"/>
        </w:rPr>
        <w:t xml:space="preserve"> Subsequently, </w:t>
      </w:r>
      <w:r w:rsidR="0026210B">
        <w:rPr>
          <w:rFonts w:ascii="Verdana" w:hAnsi="Verdana"/>
          <w:bCs/>
          <w:color w:val="000000" w:themeColor="text1"/>
        </w:rPr>
        <w:t xml:space="preserve">Professor </w:t>
      </w:r>
      <w:r w:rsidR="003055ED">
        <w:rPr>
          <w:rFonts w:ascii="Verdana" w:hAnsi="Verdana"/>
          <w:bCs/>
          <w:color w:val="000000" w:themeColor="text1"/>
        </w:rPr>
        <w:t xml:space="preserve">Jamie Wood </w:t>
      </w:r>
      <w:r w:rsidR="0026210B">
        <w:rPr>
          <w:rFonts w:ascii="Verdana" w:hAnsi="Verdana"/>
          <w:bCs/>
          <w:color w:val="000000" w:themeColor="text1"/>
        </w:rPr>
        <w:t xml:space="preserve">(University of Lincoln) </w:t>
      </w:r>
      <w:r w:rsidR="003055ED">
        <w:rPr>
          <w:rFonts w:ascii="Verdana" w:hAnsi="Verdana"/>
          <w:bCs/>
          <w:color w:val="000000" w:themeColor="text1"/>
        </w:rPr>
        <w:t xml:space="preserve">and </w:t>
      </w:r>
      <w:r w:rsidR="0026210B">
        <w:rPr>
          <w:rFonts w:ascii="Verdana" w:hAnsi="Verdana"/>
          <w:bCs/>
          <w:color w:val="000000" w:themeColor="text1"/>
        </w:rPr>
        <w:t xml:space="preserve">Dr </w:t>
      </w:r>
      <w:r w:rsidR="003055ED">
        <w:rPr>
          <w:rFonts w:ascii="Verdana" w:hAnsi="Verdana"/>
          <w:bCs/>
          <w:color w:val="000000" w:themeColor="text1"/>
        </w:rPr>
        <w:t xml:space="preserve">Marcus Collins </w:t>
      </w:r>
      <w:r w:rsidR="0026210B">
        <w:rPr>
          <w:rFonts w:ascii="Verdana" w:hAnsi="Verdana"/>
          <w:bCs/>
          <w:color w:val="000000" w:themeColor="text1"/>
        </w:rPr>
        <w:t>(Loughb</w:t>
      </w:r>
      <w:r w:rsidR="00C35ADD">
        <w:rPr>
          <w:rFonts w:ascii="Verdana" w:hAnsi="Verdana"/>
          <w:bCs/>
          <w:color w:val="000000" w:themeColor="text1"/>
        </w:rPr>
        <w:t>o</w:t>
      </w:r>
      <w:r w:rsidR="0026210B">
        <w:rPr>
          <w:rFonts w:ascii="Verdana" w:hAnsi="Verdana"/>
          <w:bCs/>
          <w:color w:val="000000" w:themeColor="text1"/>
        </w:rPr>
        <w:t xml:space="preserve">rough University) </w:t>
      </w:r>
      <w:r w:rsidR="003055ED">
        <w:rPr>
          <w:rFonts w:ascii="Verdana" w:hAnsi="Verdana"/>
          <w:bCs/>
          <w:color w:val="000000" w:themeColor="text1"/>
        </w:rPr>
        <w:t xml:space="preserve">led the Post-Pandemic Pedagogy </w:t>
      </w:r>
      <w:r w:rsidR="00FF37E7">
        <w:rPr>
          <w:rFonts w:ascii="Verdana" w:hAnsi="Verdana"/>
          <w:bCs/>
          <w:color w:val="000000" w:themeColor="text1"/>
        </w:rPr>
        <w:t>project</w:t>
      </w:r>
      <w:r w:rsidR="003055ED">
        <w:rPr>
          <w:rFonts w:ascii="Verdana" w:hAnsi="Verdana"/>
          <w:bCs/>
          <w:color w:val="000000" w:themeColor="text1"/>
        </w:rPr>
        <w:t xml:space="preserve"> to </w:t>
      </w:r>
      <w:r w:rsidR="00FF37E7">
        <w:rPr>
          <w:rFonts w:ascii="Verdana" w:hAnsi="Verdana"/>
          <w:bCs/>
          <w:color w:val="000000" w:themeColor="text1"/>
        </w:rPr>
        <w:t>‘</w:t>
      </w:r>
      <w:r w:rsidR="003055ED">
        <w:rPr>
          <w:rFonts w:ascii="Verdana" w:hAnsi="Verdana"/>
          <w:bCs/>
          <w:color w:val="000000" w:themeColor="text1"/>
        </w:rPr>
        <w:t xml:space="preserve">gather </w:t>
      </w:r>
      <w:r w:rsidR="00FF37E7">
        <w:rPr>
          <w:rFonts w:ascii="Verdana" w:hAnsi="Verdana"/>
          <w:bCs/>
          <w:color w:val="000000" w:themeColor="text1"/>
        </w:rPr>
        <w:t>evidence from within the discipline to inform history-specific frameworks for post-pandemic teaching, lear</w:t>
      </w:r>
      <w:r w:rsidR="00081BD8">
        <w:rPr>
          <w:rFonts w:ascii="Verdana" w:hAnsi="Verdana"/>
          <w:bCs/>
          <w:color w:val="000000" w:themeColor="text1"/>
        </w:rPr>
        <w:t>n</w:t>
      </w:r>
      <w:r w:rsidR="00FF37E7">
        <w:rPr>
          <w:rFonts w:ascii="Verdana" w:hAnsi="Verdana"/>
          <w:bCs/>
          <w:color w:val="000000" w:themeColor="text1"/>
        </w:rPr>
        <w:t>ing and assessment’</w:t>
      </w:r>
      <w:r w:rsidR="004535D0">
        <w:rPr>
          <w:rFonts w:ascii="Verdana" w:hAnsi="Verdana"/>
          <w:bCs/>
          <w:color w:val="000000" w:themeColor="text1"/>
        </w:rPr>
        <w:t xml:space="preserve"> and</w:t>
      </w:r>
      <w:r w:rsidR="00081BD8">
        <w:rPr>
          <w:rFonts w:ascii="Verdana" w:hAnsi="Verdana"/>
          <w:bCs/>
          <w:color w:val="000000" w:themeColor="text1"/>
        </w:rPr>
        <w:t xml:space="preserve"> identified a range of EDI issues exacerbated by the pandemic</w:t>
      </w:r>
      <w:r w:rsidR="004535D0">
        <w:rPr>
          <w:rFonts w:ascii="Verdana" w:hAnsi="Verdana"/>
          <w:bCs/>
          <w:color w:val="000000" w:themeColor="text1"/>
        </w:rPr>
        <w:t>.</w:t>
      </w:r>
      <w:r w:rsidR="004535D0">
        <w:rPr>
          <w:rStyle w:val="FootnoteReference"/>
          <w:rFonts w:ascii="Verdana" w:hAnsi="Verdana"/>
          <w:bCs/>
          <w:color w:val="000000" w:themeColor="text1"/>
        </w:rPr>
        <w:footnoteReference w:id="1"/>
      </w:r>
      <w:r w:rsidR="004535D0">
        <w:rPr>
          <w:rFonts w:ascii="Verdana" w:hAnsi="Verdana"/>
          <w:bCs/>
          <w:color w:val="000000" w:themeColor="text1"/>
        </w:rPr>
        <w:t xml:space="preserve"> </w:t>
      </w:r>
    </w:p>
    <w:p w14:paraId="7D424408" w14:textId="77777777" w:rsidR="00D25DB8" w:rsidRDefault="00D25DB8" w:rsidP="001927CF">
      <w:pPr>
        <w:spacing w:line="276" w:lineRule="auto"/>
        <w:rPr>
          <w:rFonts w:ascii="Verdana" w:hAnsi="Verdana"/>
          <w:bCs/>
          <w:color w:val="000000" w:themeColor="text1"/>
        </w:rPr>
      </w:pPr>
    </w:p>
    <w:p w14:paraId="10CEACD0" w14:textId="647A4452" w:rsidR="00D25DB8" w:rsidRDefault="79023F4D" w:rsidP="0B4088E5">
      <w:pPr>
        <w:spacing w:line="276" w:lineRule="auto"/>
        <w:rPr>
          <w:rFonts w:ascii="Verdana" w:hAnsi="Verdana"/>
          <w:color w:val="000000" w:themeColor="text1"/>
        </w:rPr>
      </w:pPr>
      <w:r w:rsidRPr="0B4088E5">
        <w:rPr>
          <w:rFonts w:ascii="Verdana" w:hAnsi="Verdana"/>
          <w:color w:val="000000" w:themeColor="text1"/>
        </w:rPr>
        <w:lastRenderedPageBreak/>
        <w:t xml:space="preserve">In </w:t>
      </w:r>
      <w:r w:rsidR="36BC6997" w:rsidRPr="0B4088E5">
        <w:rPr>
          <w:rFonts w:ascii="Verdana" w:hAnsi="Verdana"/>
          <w:color w:val="000000" w:themeColor="text1"/>
        </w:rPr>
        <w:t>Spring 202</w:t>
      </w:r>
      <w:r w:rsidRPr="0B4088E5">
        <w:rPr>
          <w:rFonts w:ascii="Verdana" w:hAnsi="Verdana"/>
          <w:color w:val="000000" w:themeColor="text1"/>
        </w:rPr>
        <w:t xml:space="preserve">1, HUK resumed </w:t>
      </w:r>
      <w:r w:rsidR="00DB6623">
        <w:rPr>
          <w:rFonts w:ascii="Verdana" w:hAnsi="Verdana"/>
          <w:color w:val="000000" w:themeColor="text1"/>
        </w:rPr>
        <w:t>its</w:t>
      </w:r>
      <w:r w:rsidRPr="0B4088E5">
        <w:rPr>
          <w:rFonts w:ascii="Verdana" w:hAnsi="Verdana"/>
          <w:color w:val="000000" w:themeColor="text1"/>
        </w:rPr>
        <w:t xml:space="preserve"> </w:t>
      </w:r>
      <w:r w:rsidR="22E2D8C2" w:rsidRPr="0B4088E5">
        <w:rPr>
          <w:rFonts w:ascii="Verdana" w:hAnsi="Verdana"/>
          <w:color w:val="000000" w:themeColor="text1"/>
        </w:rPr>
        <w:t>EDI</w:t>
      </w:r>
      <w:r w:rsidRPr="0B4088E5">
        <w:rPr>
          <w:rFonts w:ascii="Verdana" w:hAnsi="Verdana"/>
          <w:color w:val="000000" w:themeColor="text1"/>
        </w:rPr>
        <w:t xml:space="preserve"> pedagogy project, which </w:t>
      </w:r>
      <w:r w:rsidR="5CFB75AB" w:rsidRPr="0B4088E5">
        <w:rPr>
          <w:rFonts w:ascii="Verdana" w:hAnsi="Verdana"/>
          <w:color w:val="000000" w:themeColor="text1"/>
        </w:rPr>
        <w:t>took on new urgency given the barriers that students and staff faced during the pandemic</w:t>
      </w:r>
      <w:r w:rsidR="2102758F" w:rsidRPr="0B4088E5">
        <w:rPr>
          <w:rFonts w:ascii="Verdana" w:hAnsi="Verdana"/>
          <w:color w:val="000000" w:themeColor="text1"/>
        </w:rPr>
        <w:t xml:space="preserve">. </w:t>
      </w:r>
      <w:r w:rsidR="5CFB75AB" w:rsidRPr="0B4088E5">
        <w:rPr>
          <w:rFonts w:ascii="Verdana" w:hAnsi="Verdana"/>
          <w:color w:val="000000" w:themeColor="text1"/>
        </w:rPr>
        <w:t>Two f</w:t>
      </w:r>
      <w:r w:rsidR="46A58832" w:rsidRPr="0B4088E5">
        <w:rPr>
          <w:rFonts w:ascii="Verdana" w:hAnsi="Verdana"/>
          <w:color w:val="000000" w:themeColor="text1"/>
        </w:rPr>
        <w:t>ocus group</w:t>
      </w:r>
      <w:r w:rsidR="5CFB75AB" w:rsidRPr="0B4088E5">
        <w:rPr>
          <w:rFonts w:ascii="Verdana" w:hAnsi="Verdana"/>
          <w:color w:val="000000" w:themeColor="text1"/>
        </w:rPr>
        <w:t xml:space="preserve"> meeting</w:t>
      </w:r>
      <w:r w:rsidR="46A58832" w:rsidRPr="0B4088E5">
        <w:rPr>
          <w:rFonts w:ascii="Verdana" w:hAnsi="Verdana"/>
          <w:color w:val="000000" w:themeColor="text1"/>
        </w:rPr>
        <w:t>s were conducted with colleagues</w:t>
      </w:r>
      <w:r w:rsidR="3C3170C0" w:rsidRPr="0B4088E5">
        <w:rPr>
          <w:rFonts w:ascii="Verdana" w:hAnsi="Verdana"/>
          <w:color w:val="000000" w:themeColor="text1"/>
        </w:rPr>
        <w:t xml:space="preserve"> (Directors of Teaching and Learning and EDI Leads – or their equivalents)</w:t>
      </w:r>
      <w:r w:rsidR="46A58832" w:rsidRPr="0B4088E5">
        <w:rPr>
          <w:rFonts w:ascii="Verdana" w:hAnsi="Verdana"/>
          <w:color w:val="000000" w:themeColor="text1"/>
        </w:rPr>
        <w:t xml:space="preserve"> from five HEIs belonging to the </w:t>
      </w:r>
      <w:hyperlink r:id="rId10">
        <w:r w:rsidR="46A58832" w:rsidRPr="0B4088E5">
          <w:rPr>
            <w:rStyle w:val="Hyperlink"/>
            <w:rFonts w:ascii="Verdana" w:hAnsi="Verdana"/>
          </w:rPr>
          <w:t>East Midlands Centre for History Teaching and Learning</w:t>
        </w:r>
      </w:hyperlink>
      <w:r w:rsidR="46A58832" w:rsidRPr="0B4088E5">
        <w:rPr>
          <w:rFonts w:ascii="Verdana" w:hAnsi="Verdana"/>
          <w:color w:val="000000" w:themeColor="text1"/>
        </w:rPr>
        <w:t xml:space="preserve"> (EMC)</w:t>
      </w:r>
      <w:r w:rsidR="0E676B62" w:rsidRPr="0B4088E5">
        <w:rPr>
          <w:rFonts w:ascii="Verdana" w:hAnsi="Verdana"/>
          <w:color w:val="000000" w:themeColor="text1"/>
        </w:rPr>
        <w:t xml:space="preserve"> during </w:t>
      </w:r>
      <w:r w:rsidR="35673EC2" w:rsidRPr="0B4088E5">
        <w:rPr>
          <w:rFonts w:ascii="Verdana" w:hAnsi="Verdana"/>
          <w:color w:val="000000" w:themeColor="text1"/>
        </w:rPr>
        <w:t>Summer</w:t>
      </w:r>
      <w:r w:rsidR="0E676B62" w:rsidRPr="0B4088E5">
        <w:rPr>
          <w:rFonts w:ascii="Verdana" w:hAnsi="Verdana"/>
          <w:color w:val="000000" w:themeColor="text1"/>
        </w:rPr>
        <w:t xml:space="preserve"> 2021</w:t>
      </w:r>
      <w:r w:rsidR="3C3170C0" w:rsidRPr="0B4088E5">
        <w:rPr>
          <w:rFonts w:ascii="Verdana" w:hAnsi="Verdana"/>
          <w:color w:val="000000" w:themeColor="text1"/>
        </w:rPr>
        <w:t xml:space="preserve">. </w:t>
      </w:r>
      <w:r w:rsidR="248B72BF" w:rsidRPr="0B4088E5">
        <w:rPr>
          <w:rFonts w:ascii="Verdana" w:hAnsi="Verdana"/>
          <w:color w:val="000000" w:themeColor="text1"/>
        </w:rPr>
        <w:t>Th</w:t>
      </w:r>
      <w:r w:rsidR="5CFB75AB" w:rsidRPr="0B4088E5">
        <w:rPr>
          <w:rFonts w:ascii="Verdana" w:hAnsi="Verdana"/>
          <w:color w:val="000000" w:themeColor="text1"/>
        </w:rPr>
        <w:t>ey</w:t>
      </w:r>
      <w:r w:rsidR="248B72BF" w:rsidRPr="0B4088E5">
        <w:rPr>
          <w:rFonts w:ascii="Verdana" w:hAnsi="Verdana"/>
          <w:color w:val="000000" w:themeColor="text1"/>
        </w:rPr>
        <w:t xml:space="preserve"> included institutions of different sizes and types and colleagues at different stages of their careers.</w:t>
      </w:r>
      <w:r w:rsidR="6AFF3777" w:rsidRPr="0B4088E5">
        <w:rPr>
          <w:rFonts w:ascii="Verdana" w:hAnsi="Verdana"/>
          <w:color w:val="000000" w:themeColor="text1"/>
        </w:rPr>
        <w:t xml:space="preserve"> </w:t>
      </w:r>
      <w:r w:rsidR="4CCD1D73" w:rsidRPr="0B4088E5">
        <w:rPr>
          <w:rFonts w:ascii="Verdana" w:hAnsi="Verdana"/>
          <w:color w:val="000000" w:themeColor="text1"/>
        </w:rPr>
        <w:t>A subsequent series of focus group</w:t>
      </w:r>
      <w:r w:rsidR="5CFB75AB" w:rsidRPr="0B4088E5">
        <w:rPr>
          <w:rFonts w:ascii="Verdana" w:hAnsi="Verdana"/>
          <w:color w:val="000000" w:themeColor="text1"/>
        </w:rPr>
        <w:t xml:space="preserve"> meetings were</w:t>
      </w:r>
      <w:r w:rsidR="70857DB5" w:rsidRPr="0B4088E5">
        <w:rPr>
          <w:rFonts w:ascii="Verdana" w:hAnsi="Verdana"/>
          <w:color w:val="000000" w:themeColor="text1"/>
        </w:rPr>
        <w:t xml:space="preserve"> </w:t>
      </w:r>
      <w:r w:rsidR="4CCD1D73" w:rsidRPr="0B4088E5">
        <w:rPr>
          <w:rFonts w:ascii="Verdana" w:hAnsi="Verdana"/>
          <w:color w:val="000000" w:themeColor="text1"/>
        </w:rPr>
        <w:t xml:space="preserve">undertaken with colleagues from a further </w:t>
      </w:r>
      <w:r w:rsidR="007F6F1E" w:rsidRPr="007F6F1E">
        <w:rPr>
          <w:rFonts w:ascii="Verdana" w:hAnsi="Verdana"/>
          <w:color w:val="000000" w:themeColor="text1"/>
        </w:rPr>
        <w:t>10</w:t>
      </w:r>
      <w:r w:rsidR="4CCD1D73" w:rsidRPr="0B4088E5">
        <w:rPr>
          <w:rFonts w:ascii="Verdana" w:hAnsi="Verdana"/>
          <w:color w:val="000000" w:themeColor="text1"/>
        </w:rPr>
        <w:t xml:space="preserve"> History departments from across the four nations</w:t>
      </w:r>
      <w:r w:rsidR="6AFF3777" w:rsidRPr="0B4088E5">
        <w:rPr>
          <w:rFonts w:ascii="Verdana" w:hAnsi="Verdana"/>
          <w:color w:val="000000" w:themeColor="text1"/>
        </w:rPr>
        <w:t xml:space="preserve"> in Spring 2022</w:t>
      </w:r>
      <w:r w:rsidR="7861F9D5" w:rsidRPr="0B4088E5">
        <w:rPr>
          <w:rFonts w:ascii="Verdana" w:hAnsi="Verdana"/>
          <w:color w:val="000000" w:themeColor="text1"/>
        </w:rPr>
        <w:t xml:space="preserve"> (again DoTs and EDI Leads)</w:t>
      </w:r>
      <w:r w:rsidR="009E6CA2">
        <w:rPr>
          <w:rFonts w:ascii="Verdana" w:hAnsi="Verdana"/>
          <w:color w:val="000000" w:themeColor="text1"/>
        </w:rPr>
        <w:t xml:space="preserve">, again covering </w:t>
      </w:r>
      <w:r w:rsidR="00C35ADD">
        <w:rPr>
          <w:rFonts w:ascii="Verdana" w:hAnsi="Verdana"/>
          <w:color w:val="000000" w:themeColor="text1"/>
        </w:rPr>
        <w:t xml:space="preserve">a </w:t>
      </w:r>
      <w:r w:rsidR="009E6CA2">
        <w:rPr>
          <w:rFonts w:ascii="Verdana" w:hAnsi="Verdana"/>
          <w:color w:val="000000" w:themeColor="text1"/>
        </w:rPr>
        <w:t>range of HEI types including pre- and post-92 universities and members of the Russell Group</w:t>
      </w:r>
      <w:r w:rsidR="4CCD1D73" w:rsidRPr="0B4088E5">
        <w:rPr>
          <w:rFonts w:ascii="Verdana" w:hAnsi="Verdana"/>
          <w:color w:val="000000" w:themeColor="text1"/>
        </w:rPr>
        <w:t xml:space="preserve">. </w:t>
      </w:r>
      <w:r w:rsidR="6D2BB9B2" w:rsidRPr="0B4088E5">
        <w:rPr>
          <w:rFonts w:ascii="Verdana" w:hAnsi="Verdana"/>
          <w:color w:val="000000" w:themeColor="text1"/>
        </w:rPr>
        <w:t xml:space="preserve">In each instance, </w:t>
      </w:r>
      <w:r w:rsidR="094E2B59" w:rsidRPr="0B4088E5">
        <w:rPr>
          <w:rFonts w:ascii="Verdana" w:hAnsi="Verdana"/>
          <w:color w:val="000000" w:themeColor="text1"/>
        </w:rPr>
        <w:t>participants were asked to identify and discuss</w:t>
      </w:r>
      <w:r w:rsidR="7861F9D5" w:rsidRPr="0B4088E5">
        <w:rPr>
          <w:rFonts w:ascii="Verdana" w:hAnsi="Verdana"/>
          <w:color w:val="000000" w:themeColor="text1"/>
        </w:rPr>
        <w:t xml:space="preserve"> key priorities and challenges in terms of inclusive pedagog</w:t>
      </w:r>
      <w:r w:rsidR="00237E18">
        <w:rPr>
          <w:rFonts w:ascii="Verdana" w:hAnsi="Verdana"/>
          <w:color w:val="000000" w:themeColor="text1"/>
        </w:rPr>
        <w:t xml:space="preserve">ical practice, including work undertaken before the pandemic </w:t>
      </w:r>
      <w:r w:rsidR="6F746908" w:rsidRPr="0B4088E5">
        <w:rPr>
          <w:rFonts w:ascii="Verdana" w:hAnsi="Verdana"/>
          <w:color w:val="000000" w:themeColor="text1"/>
        </w:rPr>
        <w:t xml:space="preserve">and </w:t>
      </w:r>
      <w:r w:rsidR="7861F9D5" w:rsidRPr="0B4088E5">
        <w:rPr>
          <w:rFonts w:ascii="Verdana" w:hAnsi="Verdana"/>
          <w:color w:val="000000" w:themeColor="text1"/>
        </w:rPr>
        <w:t xml:space="preserve">the extent to which the pandemic shifted </w:t>
      </w:r>
      <w:r w:rsidR="39359257" w:rsidRPr="0B4088E5">
        <w:rPr>
          <w:rFonts w:ascii="Verdana" w:hAnsi="Verdana"/>
          <w:color w:val="000000" w:themeColor="text1"/>
        </w:rPr>
        <w:t xml:space="preserve">departmental and individual teaching and learning </w:t>
      </w:r>
      <w:r w:rsidR="7861F9D5" w:rsidRPr="0B4088E5">
        <w:rPr>
          <w:rFonts w:ascii="Verdana" w:hAnsi="Verdana"/>
          <w:color w:val="000000" w:themeColor="text1"/>
        </w:rPr>
        <w:t>strategies</w:t>
      </w:r>
      <w:r w:rsidR="7301932D" w:rsidRPr="0B4088E5">
        <w:rPr>
          <w:rFonts w:ascii="Verdana" w:hAnsi="Verdana"/>
          <w:color w:val="000000" w:themeColor="text1"/>
        </w:rPr>
        <w:t>.</w:t>
      </w:r>
      <w:r w:rsidR="00237E18">
        <w:rPr>
          <w:rFonts w:ascii="Verdana" w:hAnsi="Verdana"/>
          <w:color w:val="000000" w:themeColor="text1"/>
        </w:rPr>
        <w:t xml:space="preserve"> </w:t>
      </w:r>
      <w:r w:rsidR="39359257" w:rsidRPr="0B4088E5">
        <w:rPr>
          <w:rFonts w:ascii="Verdana" w:hAnsi="Verdana"/>
          <w:color w:val="000000" w:themeColor="text1"/>
        </w:rPr>
        <w:t xml:space="preserve">Colleagues </w:t>
      </w:r>
      <w:r w:rsidR="0F2AFBE0" w:rsidRPr="0B4088E5">
        <w:rPr>
          <w:rFonts w:ascii="Verdana" w:hAnsi="Verdana"/>
          <w:color w:val="000000" w:themeColor="text1"/>
        </w:rPr>
        <w:t xml:space="preserve">were also asked </w:t>
      </w:r>
      <w:r w:rsidR="6D2BB9B2" w:rsidRPr="0B4088E5">
        <w:rPr>
          <w:rFonts w:ascii="Verdana" w:hAnsi="Verdana"/>
          <w:color w:val="000000" w:themeColor="text1"/>
        </w:rPr>
        <w:t xml:space="preserve">to consider </w:t>
      </w:r>
      <w:r w:rsidR="08C530EB" w:rsidRPr="0B4088E5">
        <w:rPr>
          <w:rFonts w:ascii="Verdana" w:hAnsi="Verdana"/>
          <w:color w:val="000000" w:themeColor="text1"/>
        </w:rPr>
        <w:t xml:space="preserve">whether </w:t>
      </w:r>
      <w:r w:rsidR="6D2BB9B2" w:rsidRPr="0B4088E5">
        <w:rPr>
          <w:rFonts w:ascii="Verdana" w:hAnsi="Verdana"/>
          <w:color w:val="000000" w:themeColor="text1"/>
        </w:rPr>
        <w:t xml:space="preserve">the </w:t>
      </w:r>
      <w:hyperlink r:id="rId11">
        <w:r w:rsidR="6D2BB9B2" w:rsidRPr="0B4088E5">
          <w:rPr>
            <w:rStyle w:val="Hyperlink"/>
            <w:rFonts w:ascii="Verdana" w:hAnsi="Verdana"/>
          </w:rPr>
          <w:t>RHS reports on race and ethnicity, gender, and LGBT+ history and historians</w:t>
        </w:r>
      </w:hyperlink>
      <w:r w:rsidR="08C530EB" w:rsidRPr="0B4088E5">
        <w:rPr>
          <w:rFonts w:ascii="Verdana" w:hAnsi="Verdana"/>
          <w:color w:val="000000" w:themeColor="text1"/>
        </w:rPr>
        <w:t xml:space="preserve"> </w:t>
      </w:r>
      <w:r w:rsidR="39359257" w:rsidRPr="0B4088E5">
        <w:rPr>
          <w:rFonts w:ascii="Verdana" w:hAnsi="Verdana"/>
          <w:color w:val="000000" w:themeColor="text1"/>
        </w:rPr>
        <w:t xml:space="preserve">(2018-2020) </w:t>
      </w:r>
      <w:r w:rsidR="08C530EB" w:rsidRPr="0B4088E5">
        <w:rPr>
          <w:rFonts w:ascii="Verdana" w:hAnsi="Verdana"/>
          <w:color w:val="000000" w:themeColor="text1"/>
        </w:rPr>
        <w:t xml:space="preserve">and the </w:t>
      </w:r>
      <w:hyperlink r:id="rId12">
        <w:r w:rsidR="08C530EB" w:rsidRPr="0B4088E5">
          <w:rPr>
            <w:rStyle w:val="Hyperlink"/>
            <w:rFonts w:ascii="Verdana" w:hAnsi="Verdana"/>
          </w:rPr>
          <w:t>HUK Pandemic Pedagogy Handbook</w:t>
        </w:r>
      </w:hyperlink>
      <w:r w:rsidR="08C530EB" w:rsidRPr="0B4088E5">
        <w:rPr>
          <w:rFonts w:ascii="Verdana" w:hAnsi="Verdana"/>
          <w:color w:val="000000" w:themeColor="text1"/>
        </w:rPr>
        <w:t xml:space="preserve"> </w:t>
      </w:r>
      <w:r w:rsidR="39359257" w:rsidRPr="0B4088E5">
        <w:rPr>
          <w:rFonts w:ascii="Verdana" w:hAnsi="Verdana"/>
          <w:color w:val="000000" w:themeColor="text1"/>
        </w:rPr>
        <w:t xml:space="preserve">(2020) </w:t>
      </w:r>
      <w:r w:rsidR="08C530EB" w:rsidRPr="0B4088E5">
        <w:rPr>
          <w:rFonts w:ascii="Verdana" w:hAnsi="Verdana"/>
          <w:color w:val="000000" w:themeColor="text1"/>
        </w:rPr>
        <w:t>had been useful</w:t>
      </w:r>
      <w:r w:rsidR="0F2AFBE0" w:rsidRPr="0B4088E5">
        <w:rPr>
          <w:rFonts w:ascii="Verdana" w:hAnsi="Verdana"/>
          <w:color w:val="000000" w:themeColor="text1"/>
        </w:rPr>
        <w:t xml:space="preserve"> </w:t>
      </w:r>
      <w:r w:rsidR="007F6F1E">
        <w:rPr>
          <w:rFonts w:ascii="Verdana" w:hAnsi="Verdana"/>
          <w:color w:val="000000" w:themeColor="text1"/>
        </w:rPr>
        <w:t xml:space="preserve">to their teaching practice </w:t>
      </w:r>
      <w:r w:rsidR="0F2AFBE0" w:rsidRPr="0B4088E5">
        <w:rPr>
          <w:rFonts w:ascii="Verdana" w:hAnsi="Verdana"/>
          <w:color w:val="000000" w:themeColor="text1"/>
        </w:rPr>
        <w:t>and, if so, how and why</w:t>
      </w:r>
      <w:r w:rsidR="3816FAB5" w:rsidRPr="0B4088E5">
        <w:rPr>
          <w:rFonts w:ascii="Verdana" w:hAnsi="Verdana"/>
          <w:color w:val="000000" w:themeColor="text1"/>
        </w:rPr>
        <w:t>.</w:t>
      </w:r>
      <w:r w:rsidR="3C176733" w:rsidRPr="0B4088E5">
        <w:rPr>
          <w:rFonts w:ascii="Verdana" w:hAnsi="Verdana"/>
          <w:color w:val="000000" w:themeColor="text1"/>
        </w:rPr>
        <w:t xml:space="preserve"> </w:t>
      </w:r>
    </w:p>
    <w:p w14:paraId="1C2DFAA2" w14:textId="77777777" w:rsidR="009C0C22" w:rsidRDefault="009C0C22" w:rsidP="001927CF">
      <w:pPr>
        <w:spacing w:line="276" w:lineRule="auto"/>
      </w:pPr>
    </w:p>
    <w:p w14:paraId="03620DFC" w14:textId="5EEDC241" w:rsidR="006E2E87" w:rsidRDefault="3C176733" w:rsidP="0B4088E5">
      <w:pPr>
        <w:spacing w:line="276" w:lineRule="auto"/>
        <w:rPr>
          <w:rFonts w:ascii="Verdana" w:hAnsi="Verdana"/>
          <w:color w:val="000000" w:themeColor="text1"/>
        </w:rPr>
      </w:pPr>
      <w:r w:rsidRPr="0B4088E5">
        <w:rPr>
          <w:rFonts w:ascii="Verdana" w:hAnsi="Verdana"/>
          <w:color w:val="000000" w:themeColor="text1"/>
        </w:rPr>
        <w:t>The focus groups provided an opportunity for historians to openly reflect on our practice</w:t>
      </w:r>
      <w:r w:rsidR="1F01B740" w:rsidRPr="0B4088E5">
        <w:rPr>
          <w:rFonts w:ascii="Verdana" w:hAnsi="Verdana"/>
          <w:color w:val="000000" w:themeColor="text1"/>
        </w:rPr>
        <w:t xml:space="preserve"> and</w:t>
      </w:r>
      <w:r w:rsidR="3D36E589" w:rsidRPr="0B4088E5">
        <w:rPr>
          <w:rFonts w:ascii="Verdana" w:hAnsi="Verdana"/>
          <w:color w:val="000000" w:themeColor="text1"/>
        </w:rPr>
        <w:t xml:space="preserve"> </w:t>
      </w:r>
      <w:r w:rsidR="1F01B740" w:rsidRPr="0B4088E5">
        <w:rPr>
          <w:rFonts w:ascii="Verdana" w:hAnsi="Verdana"/>
          <w:color w:val="000000" w:themeColor="text1"/>
        </w:rPr>
        <w:t>highlighted a range of priorities and practices relating to EDI and History in HE. These included</w:t>
      </w:r>
      <w:r w:rsidR="6C7C21A3" w:rsidRPr="0B4088E5">
        <w:rPr>
          <w:rFonts w:ascii="Verdana" w:hAnsi="Verdana"/>
          <w:color w:val="000000" w:themeColor="text1"/>
        </w:rPr>
        <w:t xml:space="preserve"> </w:t>
      </w:r>
      <w:r w:rsidR="007F6F1E">
        <w:rPr>
          <w:rFonts w:ascii="Verdana" w:hAnsi="Verdana"/>
          <w:color w:val="000000" w:themeColor="text1"/>
        </w:rPr>
        <w:t>educational practices</w:t>
      </w:r>
      <w:r w:rsidR="1F01B740" w:rsidRPr="0B4088E5">
        <w:rPr>
          <w:rFonts w:ascii="Verdana" w:hAnsi="Verdana"/>
          <w:color w:val="000000" w:themeColor="text1"/>
        </w:rPr>
        <w:t xml:space="preserve"> affecting all students and departments</w:t>
      </w:r>
      <w:r w:rsidR="00B61481">
        <w:rPr>
          <w:rFonts w:ascii="Verdana" w:hAnsi="Verdana"/>
          <w:color w:val="000000" w:themeColor="text1"/>
        </w:rPr>
        <w:t>,</w:t>
      </w:r>
      <w:r w:rsidR="1F01B740" w:rsidRPr="0B4088E5">
        <w:rPr>
          <w:rFonts w:ascii="Verdana" w:hAnsi="Verdana"/>
          <w:color w:val="000000" w:themeColor="text1"/>
        </w:rPr>
        <w:t xml:space="preserve"> </w:t>
      </w:r>
      <w:r w:rsidR="007F6F1E">
        <w:rPr>
          <w:rFonts w:ascii="Verdana" w:hAnsi="Verdana"/>
          <w:color w:val="000000" w:themeColor="text1"/>
        </w:rPr>
        <w:t>as well as</w:t>
      </w:r>
      <w:r w:rsidR="1F01B740" w:rsidRPr="0B4088E5">
        <w:rPr>
          <w:rFonts w:ascii="Verdana" w:hAnsi="Verdana"/>
          <w:color w:val="000000" w:themeColor="text1"/>
        </w:rPr>
        <w:t xml:space="preserve"> history subject</w:t>
      </w:r>
      <w:r w:rsidR="007F6F1E">
        <w:rPr>
          <w:rFonts w:ascii="Verdana" w:hAnsi="Verdana"/>
          <w:color w:val="000000" w:themeColor="text1"/>
        </w:rPr>
        <w:t>-</w:t>
      </w:r>
      <w:r w:rsidR="1F01B740" w:rsidRPr="0B4088E5">
        <w:rPr>
          <w:rFonts w:ascii="Verdana" w:hAnsi="Verdana"/>
          <w:color w:val="000000" w:themeColor="text1"/>
        </w:rPr>
        <w:t xml:space="preserve">specific opportunities, challenges and responses. </w:t>
      </w:r>
      <w:r w:rsidR="00B61481">
        <w:rPr>
          <w:rFonts w:ascii="Verdana" w:hAnsi="Verdana"/>
          <w:color w:val="000000" w:themeColor="text1"/>
        </w:rPr>
        <w:t>I</w:t>
      </w:r>
      <w:r w:rsidR="007F6F1E">
        <w:rPr>
          <w:rFonts w:ascii="Verdana" w:hAnsi="Verdana"/>
          <w:color w:val="000000" w:themeColor="text1"/>
        </w:rPr>
        <w:t xml:space="preserve">nitial findings formed </w:t>
      </w:r>
      <w:r w:rsidR="39F321CB" w:rsidRPr="0B4088E5">
        <w:rPr>
          <w:rFonts w:ascii="Verdana" w:hAnsi="Verdana"/>
          <w:color w:val="000000" w:themeColor="text1"/>
        </w:rPr>
        <w:t xml:space="preserve">the basis for an interim report and a </w:t>
      </w:r>
      <w:hyperlink r:id="rId13">
        <w:r w:rsidR="39F321CB" w:rsidRPr="0B4088E5">
          <w:rPr>
            <w:rStyle w:val="Hyperlink"/>
            <w:rFonts w:ascii="Verdana" w:hAnsi="Verdana"/>
          </w:rPr>
          <w:t>blog post</w:t>
        </w:r>
      </w:hyperlink>
      <w:r w:rsidR="0657007B" w:rsidRPr="0B4088E5">
        <w:rPr>
          <w:rFonts w:ascii="Verdana" w:hAnsi="Verdana"/>
          <w:color w:val="000000" w:themeColor="text1"/>
        </w:rPr>
        <w:t xml:space="preserve">. </w:t>
      </w:r>
      <w:r w:rsidR="2103BA2A" w:rsidRPr="0B4088E5">
        <w:rPr>
          <w:rFonts w:ascii="Verdana" w:hAnsi="Verdana"/>
          <w:color w:val="000000" w:themeColor="text1"/>
        </w:rPr>
        <w:t xml:space="preserve">Literature review work was then conducted by </w:t>
      </w:r>
      <w:r w:rsidR="004D0607">
        <w:rPr>
          <w:rFonts w:ascii="Verdana" w:hAnsi="Verdana"/>
          <w:color w:val="000000" w:themeColor="text1"/>
        </w:rPr>
        <w:t>Moss Pepe</w:t>
      </w:r>
      <w:r w:rsidR="2103BA2A" w:rsidRPr="0B4088E5">
        <w:rPr>
          <w:rFonts w:ascii="Verdana" w:hAnsi="Verdana"/>
          <w:color w:val="000000" w:themeColor="text1"/>
        </w:rPr>
        <w:t xml:space="preserve"> in the Summer</w:t>
      </w:r>
      <w:r w:rsidR="00B61481">
        <w:rPr>
          <w:rFonts w:ascii="Verdana" w:hAnsi="Verdana"/>
          <w:color w:val="000000" w:themeColor="text1"/>
        </w:rPr>
        <w:t>/</w:t>
      </w:r>
      <w:r w:rsidR="2103BA2A" w:rsidRPr="0B4088E5">
        <w:rPr>
          <w:rFonts w:ascii="Verdana" w:hAnsi="Verdana"/>
          <w:color w:val="000000" w:themeColor="text1"/>
        </w:rPr>
        <w:t xml:space="preserve">Autumn of 2022. </w:t>
      </w:r>
    </w:p>
    <w:p w14:paraId="3906C353" w14:textId="77777777" w:rsidR="006E2E87" w:rsidRDefault="006E2E87" w:rsidP="001927CF">
      <w:pPr>
        <w:spacing w:line="276" w:lineRule="auto"/>
        <w:rPr>
          <w:rFonts w:ascii="Verdana" w:hAnsi="Verdana"/>
          <w:bCs/>
          <w:color w:val="000000" w:themeColor="text1"/>
        </w:rPr>
      </w:pPr>
    </w:p>
    <w:p w14:paraId="6950C607" w14:textId="3857D5F6" w:rsidR="005D3842" w:rsidRDefault="00552B1E" w:rsidP="001927CF">
      <w:pPr>
        <w:spacing w:line="276" w:lineRule="auto"/>
        <w:rPr>
          <w:rFonts w:ascii="Verdana" w:hAnsi="Verdana"/>
          <w:bCs/>
          <w:color w:val="000000" w:themeColor="text1"/>
        </w:rPr>
      </w:pPr>
      <w:r w:rsidRPr="001927CF">
        <w:rPr>
          <w:rFonts w:ascii="Verdana" w:hAnsi="Verdana"/>
          <w:bCs/>
          <w:color w:val="000000" w:themeColor="text1"/>
        </w:rPr>
        <w:t>The production of this report</w:t>
      </w:r>
      <w:r w:rsidR="003B7D6F" w:rsidRPr="001927CF">
        <w:rPr>
          <w:rFonts w:ascii="Verdana" w:hAnsi="Verdana"/>
          <w:bCs/>
          <w:color w:val="000000" w:themeColor="text1"/>
        </w:rPr>
        <w:t xml:space="preserve"> </w:t>
      </w:r>
      <w:r w:rsidRPr="001927CF">
        <w:rPr>
          <w:rFonts w:ascii="Verdana" w:hAnsi="Verdana"/>
          <w:bCs/>
          <w:color w:val="000000" w:themeColor="text1"/>
        </w:rPr>
        <w:t xml:space="preserve">highlighted </w:t>
      </w:r>
      <w:r w:rsidR="00804CC2">
        <w:rPr>
          <w:rFonts w:ascii="Verdana" w:hAnsi="Verdana"/>
          <w:bCs/>
          <w:color w:val="000000" w:themeColor="text1"/>
        </w:rPr>
        <w:t xml:space="preserve">interactions between </w:t>
      </w:r>
      <w:r w:rsidR="003B7D6F" w:rsidRPr="0079613F">
        <w:rPr>
          <w:rFonts w:ascii="Verdana" w:hAnsi="Verdana"/>
          <w:bCs/>
          <w:color w:val="000000" w:themeColor="text1"/>
        </w:rPr>
        <w:t>the educational landscape</w:t>
      </w:r>
      <w:r w:rsidR="005D3842" w:rsidRPr="0079613F">
        <w:rPr>
          <w:rFonts w:ascii="Verdana" w:hAnsi="Verdana"/>
          <w:bCs/>
          <w:color w:val="000000" w:themeColor="text1"/>
        </w:rPr>
        <w:t xml:space="preserve"> </w:t>
      </w:r>
      <w:r w:rsidR="00804CC2">
        <w:rPr>
          <w:rFonts w:ascii="Verdana" w:hAnsi="Verdana"/>
          <w:bCs/>
          <w:color w:val="000000" w:themeColor="text1"/>
        </w:rPr>
        <w:t>and broader</w:t>
      </w:r>
      <w:r w:rsidR="005D3842" w:rsidRPr="0079613F">
        <w:rPr>
          <w:rFonts w:ascii="Verdana" w:hAnsi="Verdana"/>
          <w:bCs/>
          <w:color w:val="000000" w:themeColor="text1"/>
        </w:rPr>
        <w:t xml:space="preserve"> societal issues</w:t>
      </w:r>
      <w:r w:rsidR="003B7D6F" w:rsidRPr="0079613F">
        <w:rPr>
          <w:rFonts w:ascii="Verdana" w:hAnsi="Verdana"/>
          <w:bCs/>
          <w:color w:val="000000" w:themeColor="text1"/>
        </w:rPr>
        <w:t xml:space="preserve">, </w:t>
      </w:r>
      <w:r w:rsidR="00804CC2">
        <w:rPr>
          <w:rFonts w:ascii="Verdana" w:hAnsi="Verdana"/>
          <w:bCs/>
          <w:color w:val="000000" w:themeColor="text1"/>
        </w:rPr>
        <w:t xml:space="preserve">and revealed </w:t>
      </w:r>
      <w:r w:rsidR="003B7D6F" w:rsidRPr="0079613F">
        <w:rPr>
          <w:rFonts w:ascii="Verdana" w:hAnsi="Verdana"/>
          <w:bCs/>
          <w:color w:val="000000" w:themeColor="text1"/>
        </w:rPr>
        <w:t xml:space="preserve">the opportunities and challenges </w:t>
      </w:r>
      <w:r w:rsidR="005D3842" w:rsidRPr="0079613F">
        <w:rPr>
          <w:rFonts w:ascii="Verdana" w:hAnsi="Verdana"/>
          <w:bCs/>
          <w:color w:val="000000" w:themeColor="text1"/>
        </w:rPr>
        <w:t xml:space="preserve">this </w:t>
      </w:r>
      <w:r w:rsidR="00804CC2">
        <w:rPr>
          <w:rFonts w:ascii="Verdana" w:hAnsi="Verdana"/>
          <w:bCs/>
          <w:color w:val="000000" w:themeColor="text1"/>
        </w:rPr>
        <w:t xml:space="preserve">interplay </w:t>
      </w:r>
      <w:r w:rsidR="005D3842" w:rsidRPr="0079613F">
        <w:rPr>
          <w:rFonts w:ascii="Verdana" w:hAnsi="Verdana"/>
          <w:bCs/>
          <w:color w:val="000000" w:themeColor="text1"/>
        </w:rPr>
        <w:t xml:space="preserve">presents </w:t>
      </w:r>
      <w:r w:rsidR="003B7D6F" w:rsidRPr="0079613F">
        <w:rPr>
          <w:rFonts w:ascii="Verdana" w:hAnsi="Verdana"/>
          <w:bCs/>
          <w:color w:val="000000" w:themeColor="text1"/>
        </w:rPr>
        <w:t xml:space="preserve">for subject-specific EDI work. </w:t>
      </w:r>
      <w:r w:rsidR="00804CC2">
        <w:rPr>
          <w:rFonts w:ascii="Verdana" w:hAnsi="Verdana"/>
          <w:bCs/>
          <w:color w:val="000000" w:themeColor="text1"/>
        </w:rPr>
        <w:t>Socially rooted problems including the ongoing repercussions of the pandemic have augmented problems linked to</w:t>
      </w:r>
      <w:r w:rsidR="003B7D6F" w:rsidRPr="0079613F">
        <w:rPr>
          <w:rFonts w:ascii="Verdana" w:hAnsi="Verdana"/>
          <w:bCs/>
          <w:color w:val="000000" w:themeColor="text1"/>
        </w:rPr>
        <w:t xml:space="preserve"> the </w:t>
      </w:r>
      <w:r w:rsidR="00F237AA" w:rsidRPr="0079613F">
        <w:rPr>
          <w:rFonts w:ascii="Verdana" w:hAnsi="Verdana"/>
          <w:bCs/>
          <w:color w:val="000000" w:themeColor="text1"/>
        </w:rPr>
        <w:t>cost-of-living</w:t>
      </w:r>
      <w:r w:rsidR="003B7D6F" w:rsidRPr="0079613F">
        <w:rPr>
          <w:rFonts w:ascii="Verdana" w:hAnsi="Verdana"/>
          <w:bCs/>
          <w:color w:val="000000" w:themeColor="text1"/>
        </w:rPr>
        <w:t xml:space="preserve"> crisis and the ‘attack on art and humanities’</w:t>
      </w:r>
      <w:r w:rsidR="00F237AA" w:rsidRPr="0079613F">
        <w:rPr>
          <w:rFonts w:ascii="Verdana" w:hAnsi="Verdana"/>
          <w:bCs/>
          <w:color w:val="000000" w:themeColor="text1"/>
        </w:rPr>
        <w:t>.</w:t>
      </w:r>
      <w:r w:rsidR="00804CC2">
        <w:rPr>
          <w:rStyle w:val="FootnoteReference"/>
          <w:rFonts w:ascii="Verdana" w:hAnsi="Verdana"/>
          <w:bCs/>
          <w:color w:val="000000" w:themeColor="text1"/>
        </w:rPr>
        <w:footnoteReference w:id="2"/>
      </w:r>
      <w:r w:rsidR="00F237AA" w:rsidRPr="0079613F">
        <w:rPr>
          <w:rFonts w:ascii="Verdana" w:hAnsi="Verdana"/>
          <w:bCs/>
          <w:color w:val="000000" w:themeColor="text1"/>
        </w:rPr>
        <w:t xml:space="preserve"> </w:t>
      </w:r>
      <w:r w:rsidR="006E2E87" w:rsidRPr="0079613F">
        <w:rPr>
          <w:rFonts w:ascii="Verdana" w:hAnsi="Verdana"/>
          <w:bCs/>
          <w:color w:val="000000" w:themeColor="text1"/>
        </w:rPr>
        <w:t xml:space="preserve">Against </w:t>
      </w:r>
      <w:r w:rsidR="00006DE4">
        <w:rPr>
          <w:rFonts w:ascii="Verdana" w:hAnsi="Verdana"/>
          <w:bCs/>
          <w:color w:val="000000" w:themeColor="text1"/>
        </w:rPr>
        <w:t>a</w:t>
      </w:r>
      <w:r w:rsidR="006E2E87" w:rsidRPr="0079613F">
        <w:rPr>
          <w:rFonts w:ascii="Verdana" w:hAnsi="Verdana"/>
          <w:bCs/>
          <w:color w:val="000000" w:themeColor="text1"/>
        </w:rPr>
        <w:t xml:space="preserve"> backdrop</w:t>
      </w:r>
      <w:r w:rsidR="00006DE4">
        <w:rPr>
          <w:rFonts w:ascii="Verdana" w:hAnsi="Verdana"/>
          <w:bCs/>
          <w:color w:val="000000" w:themeColor="text1"/>
        </w:rPr>
        <w:t xml:space="preserve"> of political </w:t>
      </w:r>
      <w:r w:rsidR="00006DE4">
        <w:rPr>
          <w:rFonts w:ascii="Verdana" w:hAnsi="Verdana"/>
          <w:bCs/>
          <w:color w:val="000000" w:themeColor="text1"/>
        </w:rPr>
        <w:lastRenderedPageBreak/>
        <w:t>polarization, a growing mental health crisis in University age adults, digital misinformation, and widespread mistrust of science, it is clear the kinds of critical thinking and research skills linked to historical work are essential tools. As Henry A. Giroux</w:t>
      </w:r>
      <w:r w:rsidR="005D3842" w:rsidRPr="0079613F">
        <w:rPr>
          <w:rFonts w:ascii="Verdana" w:hAnsi="Verdana"/>
          <w:bCs/>
          <w:color w:val="000000" w:themeColor="text1"/>
        </w:rPr>
        <w:t xml:space="preserve"> argued</w:t>
      </w:r>
      <w:r w:rsidR="00006DE4">
        <w:rPr>
          <w:rFonts w:ascii="Verdana" w:hAnsi="Verdana"/>
          <w:bCs/>
          <w:color w:val="000000" w:themeColor="text1"/>
        </w:rPr>
        <w:t>,</w:t>
      </w:r>
      <w:r w:rsidR="005D3842" w:rsidRPr="0079613F">
        <w:rPr>
          <w:rFonts w:ascii="Verdana" w:hAnsi="Verdana"/>
          <w:bCs/>
          <w:color w:val="000000" w:themeColor="text1"/>
        </w:rPr>
        <w:t xml:space="preserve"> ‘education and critical pedagogy are needed more than ever’</w:t>
      </w:r>
      <w:r w:rsidR="006E2E87" w:rsidRPr="0079613F">
        <w:rPr>
          <w:rFonts w:ascii="Verdana" w:hAnsi="Verdana"/>
          <w:bCs/>
          <w:color w:val="000000" w:themeColor="text1"/>
        </w:rPr>
        <w:t xml:space="preserve">, </w:t>
      </w:r>
      <w:r w:rsidR="00006DE4">
        <w:rPr>
          <w:rFonts w:ascii="Verdana" w:hAnsi="Verdana"/>
          <w:bCs/>
          <w:color w:val="000000" w:themeColor="text1"/>
        </w:rPr>
        <w:t xml:space="preserve">and </w:t>
      </w:r>
      <w:r w:rsidR="005D3842" w:rsidRPr="001927CF">
        <w:rPr>
          <w:rFonts w:ascii="Verdana" w:hAnsi="Verdana"/>
          <w:bCs/>
          <w:color w:val="000000" w:themeColor="text1"/>
        </w:rPr>
        <w:t xml:space="preserve">historical perspectives </w:t>
      </w:r>
      <w:r w:rsidR="00006DE4">
        <w:rPr>
          <w:rFonts w:ascii="Verdana" w:hAnsi="Verdana"/>
          <w:bCs/>
          <w:color w:val="000000" w:themeColor="text1"/>
        </w:rPr>
        <w:t>are crucial to combatting</w:t>
      </w:r>
      <w:r w:rsidR="005D3842" w:rsidRPr="001927CF">
        <w:rPr>
          <w:rFonts w:ascii="Verdana" w:hAnsi="Verdana"/>
          <w:bCs/>
          <w:color w:val="000000" w:themeColor="text1"/>
        </w:rPr>
        <w:t xml:space="preserve"> issues such as social injustice and </w:t>
      </w:r>
      <w:r w:rsidR="009C0C22">
        <w:rPr>
          <w:rFonts w:ascii="Verdana" w:hAnsi="Verdana"/>
          <w:bCs/>
          <w:color w:val="000000" w:themeColor="text1"/>
        </w:rPr>
        <w:t>the spread of disinformation across digital and conventional media</w:t>
      </w:r>
      <w:r w:rsidR="005D3842" w:rsidRPr="001927CF">
        <w:rPr>
          <w:rFonts w:ascii="Verdana" w:hAnsi="Verdana"/>
          <w:bCs/>
          <w:color w:val="000000" w:themeColor="text1"/>
        </w:rPr>
        <w:t>.</w:t>
      </w:r>
      <w:r w:rsidR="005D3842" w:rsidRPr="001927CF">
        <w:rPr>
          <w:rStyle w:val="FootnoteReference"/>
          <w:rFonts w:ascii="Verdana" w:hAnsi="Verdana"/>
          <w:bCs/>
          <w:color w:val="000000" w:themeColor="text1"/>
        </w:rPr>
        <w:footnoteReference w:id="3"/>
      </w:r>
      <w:r w:rsidR="005D3842" w:rsidRPr="001927CF">
        <w:rPr>
          <w:rFonts w:ascii="Verdana" w:hAnsi="Verdana"/>
          <w:bCs/>
          <w:color w:val="000000" w:themeColor="text1"/>
        </w:rPr>
        <w:t xml:space="preserve"> </w:t>
      </w:r>
    </w:p>
    <w:p w14:paraId="364C81B1" w14:textId="77777777" w:rsidR="006E2E87" w:rsidRPr="001927CF" w:rsidRDefault="006E2E87" w:rsidP="001927CF">
      <w:pPr>
        <w:spacing w:line="276" w:lineRule="auto"/>
        <w:rPr>
          <w:rFonts w:ascii="Verdana" w:hAnsi="Verdana"/>
          <w:bCs/>
          <w:color w:val="000000" w:themeColor="text1"/>
        </w:rPr>
      </w:pPr>
    </w:p>
    <w:p w14:paraId="36702075" w14:textId="0F7CEB44" w:rsidR="00F03643" w:rsidRPr="00CB6921" w:rsidRDefault="63B85C26" w:rsidP="0B4088E5">
      <w:pPr>
        <w:spacing w:line="276" w:lineRule="auto"/>
        <w:rPr>
          <w:rFonts w:ascii="Verdana" w:hAnsi="Verdana"/>
          <w:color w:val="000000" w:themeColor="text1"/>
        </w:rPr>
      </w:pPr>
      <w:r w:rsidRPr="00CB6921">
        <w:rPr>
          <w:rFonts w:ascii="Verdana" w:hAnsi="Verdana"/>
          <w:color w:val="000000" w:themeColor="text1"/>
        </w:rPr>
        <w:t>This</w:t>
      </w:r>
      <w:r w:rsidR="0657007B" w:rsidRPr="00CB6921">
        <w:rPr>
          <w:rFonts w:ascii="Verdana" w:hAnsi="Verdana"/>
          <w:color w:val="000000" w:themeColor="text1"/>
        </w:rPr>
        <w:t xml:space="preserve"> report</w:t>
      </w:r>
      <w:r w:rsidR="1046455F" w:rsidRPr="00CB6921">
        <w:rPr>
          <w:rFonts w:ascii="Verdana" w:hAnsi="Verdana"/>
          <w:color w:val="000000" w:themeColor="text1"/>
        </w:rPr>
        <w:t xml:space="preserve"> </w:t>
      </w:r>
      <w:r w:rsidR="0657007B" w:rsidRPr="00CB6921">
        <w:rPr>
          <w:rFonts w:ascii="Verdana" w:hAnsi="Verdana"/>
          <w:color w:val="000000" w:themeColor="text1"/>
        </w:rPr>
        <w:t>present</w:t>
      </w:r>
      <w:r w:rsidR="2883B836" w:rsidRPr="00CB6921">
        <w:rPr>
          <w:rFonts w:ascii="Verdana" w:hAnsi="Verdana"/>
          <w:color w:val="000000" w:themeColor="text1"/>
        </w:rPr>
        <w:t>s</w:t>
      </w:r>
      <w:r w:rsidR="25C520B8" w:rsidRPr="00CB6921">
        <w:rPr>
          <w:rFonts w:ascii="Verdana" w:hAnsi="Verdana"/>
          <w:color w:val="000000" w:themeColor="text1"/>
        </w:rPr>
        <w:t xml:space="preserve"> the findings from the </w:t>
      </w:r>
      <w:r w:rsidR="00006DE4" w:rsidRPr="00CB6921">
        <w:rPr>
          <w:rFonts w:ascii="Verdana" w:hAnsi="Verdana"/>
          <w:color w:val="000000" w:themeColor="text1"/>
        </w:rPr>
        <w:t xml:space="preserve">2021 and 2022 </w:t>
      </w:r>
      <w:r w:rsidR="25C520B8" w:rsidRPr="00CB6921">
        <w:rPr>
          <w:rFonts w:ascii="Verdana" w:hAnsi="Verdana"/>
          <w:color w:val="000000" w:themeColor="text1"/>
        </w:rPr>
        <w:t>focus groups together with</w:t>
      </w:r>
      <w:r w:rsidR="0657007B" w:rsidRPr="00CB6921">
        <w:rPr>
          <w:rFonts w:ascii="Verdana" w:hAnsi="Verdana"/>
          <w:color w:val="000000" w:themeColor="text1"/>
        </w:rPr>
        <w:t xml:space="preserve"> contextual researc</w:t>
      </w:r>
      <w:r w:rsidR="55B8489A" w:rsidRPr="00CB6921">
        <w:rPr>
          <w:rFonts w:ascii="Verdana" w:hAnsi="Verdana"/>
          <w:color w:val="000000" w:themeColor="text1"/>
        </w:rPr>
        <w:t>h</w:t>
      </w:r>
      <w:r w:rsidR="032D592D" w:rsidRPr="00CB6921">
        <w:rPr>
          <w:rFonts w:ascii="Verdana" w:hAnsi="Verdana"/>
          <w:color w:val="000000" w:themeColor="text1"/>
        </w:rPr>
        <w:t xml:space="preserve">. </w:t>
      </w:r>
      <w:r w:rsidR="527B89A3" w:rsidRPr="00CB6921">
        <w:rPr>
          <w:rFonts w:ascii="Verdana" w:hAnsi="Verdana"/>
          <w:color w:val="000000" w:themeColor="text1"/>
        </w:rPr>
        <w:t xml:space="preserve">However, History UK are committed to EDI </w:t>
      </w:r>
      <w:r w:rsidR="00695AF5" w:rsidRPr="00CB6921">
        <w:rPr>
          <w:rFonts w:ascii="Verdana" w:hAnsi="Verdana"/>
          <w:color w:val="000000" w:themeColor="text1"/>
        </w:rPr>
        <w:t>work,</w:t>
      </w:r>
      <w:r w:rsidR="527B89A3" w:rsidRPr="00CB6921">
        <w:rPr>
          <w:rFonts w:ascii="Verdana" w:hAnsi="Verdana"/>
          <w:color w:val="000000" w:themeColor="text1"/>
        </w:rPr>
        <w:t xml:space="preserve"> and </w:t>
      </w:r>
      <w:r w:rsidR="00006DE4" w:rsidRPr="00CB6921">
        <w:rPr>
          <w:rFonts w:ascii="Verdana" w:hAnsi="Verdana"/>
          <w:color w:val="000000" w:themeColor="text1"/>
        </w:rPr>
        <w:t xml:space="preserve">we </w:t>
      </w:r>
      <w:r w:rsidR="527B89A3" w:rsidRPr="00CB6921">
        <w:rPr>
          <w:rFonts w:ascii="Verdana" w:hAnsi="Verdana"/>
          <w:color w:val="000000" w:themeColor="text1"/>
        </w:rPr>
        <w:t xml:space="preserve">do not view this </w:t>
      </w:r>
      <w:r w:rsidR="00006DE4" w:rsidRPr="00CB6921">
        <w:rPr>
          <w:rFonts w:ascii="Verdana" w:hAnsi="Verdana"/>
          <w:color w:val="000000" w:themeColor="text1"/>
        </w:rPr>
        <w:t xml:space="preserve">report </w:t>
      </w:r>
      <w:r w:rsidR="527B89A3" w:rsidRPr="00CB6921">
        <w:rPr>
          <w:rFonts w:ascii="Verdana" w:hAnsi="Verdana"/>
          <w:color w:val="000000" w:themeColor="text1"/>
        </w:rPr>
        <w:t>as an endpoint. Th</w:t>
      </w:r>
      <w:r w:rsidR="00CB6921">
        <w:rPr>
          <w:rFonts w:ascii="Verdana" w:hAnsi="Verdana"/>
          <w:color w:val="000000" w:themeColor="text1"/>
        </w:rPr>
        <w:t>e</w:t>
      </w:r>
      <w:r w:rsidR="527B89A3" w:rsidRPr="00CB6921">
        <w:rPr>
          <w:rFonts w:ascii="Verdana" w:hAnsi="Verdana"/>
          <w:color w:val="000000" w:themeColor="text1"/>
        </w:rPr>
        <w:t xml:space="preserve"> </w:t>
      </w:r>
      <w:r w:rsidR="00006DE4" w:rsidRPr="00CB6921">
        <w:rPr>
          <w:rFonts w:ascii="Verdana" w:hAnsi="Verdana"/>
          <w:color w:val="000000" w:themeColor="text1"/>
        </w:rPr>
        <w:t xml:space="preserve">report is the start of a longer-term project to advance </w:t>
      </w:r>
      <w:r w:rsidR="1E03AF9E" w:rsidRPr="00CB6921">
        <w:rPr>
          <w:rFonts w:ascii="Verdana" w:hAnsi="Verdana"/>
          <w:color w:val="000000" w:themeColor="text1"/>
        </w:rPr>
        <w:t xml:space="preserve">EDI </w:t>
      </w:r>
      <w:r w:rsidR="00006DE4" w:rsidRPr="00CB6921">
        <w:rPr>
          <w:rFonts w:ascii="Verdana" w:hAnsi="Verdana"/>
          <w:color w:val="000000" w:themeColor="text1"/>
        </w:rPr>
        <w:t>in History and</w:t>
      </w:r>
      <w:r w:rsidR="527B89A3" w:rsidRPr="00CB6921">
        <w:rPr>
          <w:rFonts w:ascii="Verdana" w:hAnsi="Verdana"/>
          <w:color w:val="000000" w:themeColor="text1"/>
        </w:rPr>
        <w:t xml:space="preserve"> has already led to</w:t>
      </w:r>
      <w:r w:rsidR="580CF78A" w:rsidRPr="00CB6921">
        <w:rPr>
          <w:rFonts w:ascii="Verdana" w:hAnsi="Verdana"/>
          <w:color w:val="000000" w:themeColor="text1"/>
        </w:rPr>
        <w:t xml:space="preserve"> </w:t>
      </w:r>
      <w:r w:rsidR="009E2487">
        <w:rPr>
          <w:rFonts w:ascii="Verdana" w:hAnsi="Verdana"/>
          <w:color w:val="000000" w:themeColor="text1"/>
        </w:rPr>
        <w:t>a</w:t>
      </w:r>
      <w:r w:rsidR="580CF78A" w:rsidRPr="00CB6921">
        <w:rPr>
          <w:rFonts w:ascii="Verdana" w:hAnsi="Verdana"/>
          <w:color w:val="000000" w:themeColor="text1"/>
        </w:rPr>
        <w:t xml:space="preserve"> </w:t>
      </w:r>
      <w:r w:rsidR="009E2487">
        <w:rPr>
          <w:rFonts w:ascii="Verdana" w:hAnsi="Verdana"/>
          <w:color w:val="000000" w:themeColor="text1"/>
        </w:rPr>
        <w:t>new</w:t>
      </w:r>
      <w:r w:rsidR="580CF78A" w:rsidRPr="00CB6921">
        <w:rPr>
          <w:rFonts w:ascii="Verdana" w:hAnsi="Verdana"/>
          <w:color w:val="000000" w:themeColor="text1"/>
        </w:rPr>
        <w:t xml:space="preserve"> </w:t>
      </w:r>
      <w:r w:rsidR="6827D79C" w:rsidRPr="00CB6921">
        <w:rPr>
          <w:rFonts w:ascii="Verdana" w:hAnsi="Verdana"/>
          <w:color w:val="000000" w:themeColor="text1"/>
        </w:rPr>
        <w:t>HUK</w:t>
      </w:r>
      <w:r w:rsidR="527B89A3" w:rsidRPr="00CB6921">
        <w:rPr>
          <w:rFonts w:ascii="Verdana" w:hAnsi="Verdana"/>
          <w:color w:val="000000" w:themeColor="text1"/>
        </w:rPr>
        <w:t xml:space="preserve"> History and </w:t>
      </w:r>
      <w:r w:rsidR="25A271CC" w:rsidRPr="00CB6921">
        <w:rPr>
          <w:rFonts w:ascii="Verdana" w:hAnsi="Verdana"/>
          <w:color w:val="000000" w:themeColor="text1"/>
        </w:rPr>
        <w:t>Disability</w:t>
      </w:r>
      <w:r w:rsidR="527B89A3" w:rsidRPr="00CB6921">
        <w:rPr>
          <w:rFonts w:ascii="Verdana" w:hAnsi="Verdana"/>
          <w:color w:val="000000" w:themeColor="text1"/>
        </w:rPr>
        <w:t xml:space="preserve"> </w:t>
      </w:r>
      <w:r w:rsidR="4BE2E1DE" w:rsidRPr="00CB6921">
        <w:rPr>
          <w:rFonts w:ascii="Verdana" w:hAnsi="Verdana"/>
          <w:color w:val="000000" w:themeColor="text1"/>
        </w:rPr>
        <w:t>project</w:t>
      </w:r>
      <w:r w:rsidR="00006DE4" w:rsidRPr="00CB6921">
        <w:rPr>
          <w:rFonts w:ascii="Verdana" w:hAnsi="Verdana"/>
          <w:color w:val="000000" w:themeColor="text1"/>
        </w:rPr>
        <w:t xml:space="preserve">, reflecting our findings about the lack of attention to disability within EDI initiatives. Our report findings are </w:t>
      </w:r>
      <w:r w:rsidR="006C69C8">
        <w:rPr>
          <w:rFonts w:ascii="Verdana" w:hAnsi="Verdana"/>
          <w:color w:val="000000" w:themeColor="text1"/>
        </w:rPr>
        <w:t xml:space="preserve">also </w:t>
      </w:r>
      <w:r w:rsidR="00006DE4" w:rsidRPr="00CB6921">
        <w:rPr>
          <w:rFonts w:ascii="Verdana" w:hAnsi="Verdana"/>
          <w:color w:val="000000" w:themeColor="text1"/>
        </w:rPr>
        <w:t>now</w:t>
      </w:r>
      <w:r w:rsidR="4BE2E1DE" w:rsidRPr="00CB6921">
        <w:rPr>
          <w:rFonts w:ascii="Verdana" w:hAnsi="Verdana"/>
          <w:color w:val="000000" w:themeColor="text1"/>
        </w:rPr>
        <w:t xml:space="preserve"> </w:t>
      </w:r>
      <w:r w:rsidR="6A724EE7" w:rsidRPr="00CB6921">
        <w:rPr>
          <w:rFonts w:ascii="Verdana" w:hAnsi="Verdana"/>
          <w:color w:val="000000" w:themeColor="text1"/>
        </w:rPr>
        <w:t xml:space="preserve">being embedded in our working groups. </w:t>
      </w:r>
      <w:r w:rsidR="00812521" w:rsidRPr="00CB6921">
        <w:rPr>
          <w:rFonts w:ascii="Verdana" w:hAnsi="Verdana"/>
          <w:color w:val="000000" w:themeColor="text1"/>
        </w:rPr>
        <w:t>We welcome comments and reflections on the report and suggestions for future work.</w:t>
      </w:r>
    </w:p>
    <w:p w14:paraId="49BB6037" w14:textId="5A4FBE57" w:rsidR="001C1639" w:rsidRPr="001927CF" w:rsidRDefault="001C1639" w:rsidP="001927CF">
      <w:pPr>
        <w:spacing w:line="276" w:lineRule="auto"/>
        <w:rPr>
          <w:rFonts w:ascii="Verdana" w:hAnsi="Verdana"/>
        </w:rPr>
      </w:pPr>
    </w:p>
    <w:p w14:paraId="0C206E56" w14:textId="77777777" w:rsidR="00CF72D0" w:rsidRDefault="00CF72D0" w:rsidP="001927CF">
      <w:pPr>
        <w:spacing w:line="276" w:lineRule="auto"/>
        <w:rPr>
          <w:rFonts w:ascii="Verdana" w:hAnsi="Verdana"/>
          <w:b/>
          <w:bCs/>
        </w:rPr>
      </w:pPr>
    </w:p>
    <w:p w14:paraId="47D766DA" w14:textId="77777777" w:rsidR="00CF72D0" w:rsidRDefault="00CF72D0" w:rsidP="001927CF">
      <w:pPr>
        <w:spacing w:line="276" w:lineRule="auto"/>
        <w:rPr>
          <w:rFonts w:ascii="Verdana" w:hAnsi="Verdana"/>
          <w:b/>
          <w:bCs/>
        </w:rPr>
      </w:pPr>
    </w:p>
    <w:p w14:paraId="46356142" w14:textId="77777777" w:rsidR="00CF72D0" w:rsidRDefault="00CF72D0" w:rsidP="001927CF">
      <w:pPr>
        <w:spacing w:line="276" w:lineRule="auto"/>
        <w:rPr>
          <w:rFonts w:ascii="Verdana" w:hAnsi="Verdana"/>
          <w:b/>
          <w:bCs/>
        </w:rPr>
      </w:pPr>
    </w:p>
    <w:p w14:paraId="3AC38CEF" w14:textId="77777777" w:rsidR="00CF72D0" w:rsidRDefault="00CF72D0" w:rsidP="001927CF">
      <w:pPr>
        <w:spacing w:line="276" w:lineRule="auto"/>
        <w:rPr>
          <w:rFonts w:ascii="Verdana" w:hAnsi="Verdana"/>
          <w:b/>
          <w:bCs/>
        </w:rPr>
      </w:pPr>
    </w:p>
    <w:p w14:paraId="29C16745" w14:textId="77777777" w:rsidR="00CF72D0" w:rsidRDefault="00CF72D0" w:rsidP="001927CF">
      <w:pPr>
        <w:spacing w:line="276" w:lineRule="auto"/>
        <w:rPr>
          <w:rFonts w:ascii="Verdana" w:hAnsi="Verdana"/>
          <w:b/>
          <w:bCs/>
        </w:rPr>
      </w:pPr>
    </w:p>
    <w:p w14:paraId="4BAA0718" w14:textId="77777777" w:rsidR="00CF72D0" w:rsidRDefault="00CF72D0" w:rsidP="001927CF">
      <w:pPr>
        <w:spacing w:line="276" w:lineRule="auto"/>
        <w:rPr>
          <w:rFonts w:ascii="Verdana" w:hAnsi="Verdana"/>
          <w:b/>
          <w:bCs/>
        </w:rPr>
      </w:pPr>
    </w:p>
    <w:p w14:paraId="0BB1D19B" w14:textId="77777777" w:rsidR="00CF72D0" w:rsidRDefault="00CF72D0" w:rsidP="001927CF">
      <w:pPr>
        <w:spacing w:line="276" w:lineRule="auto"/>
        <w:rPr>
          <w:rFonts w:ascii="Verdana" w:hAnsi="Verdana"/>
          <w:b/>
          <w:bCs/>
        </w:rPr>
      </w:pPr>
    </w:p>
    <w:p w14:paraId="308CAB7D" w14:textId="77777777" w:rsidR="00CF72D0" w:rsidRDefault="00CF72D0" w:rsidP="001927CF">
      <w:pPr>
        <w:spacing w:line="276" w:lineRule="auto"/>
        <w:rPr>
          <w:rFonts w:ascii="Verdana" w:hAnsi="Verdana"/>
          <w:b/>
          <w:bCs/>
        </w:rPr>
      </w:pPr>
    </w:p>
    <w:p w14:paraId="2F4E3BBD" w14:textId="77777777" w:rsidR="00CF72D0" w:rsidRDefault="00CF72D0" w:rsidP="001927CF">
      <w:pPr>
        <w:spacing w:line="276" w:lineRule="auto"/>
        <w:rPr>
          <w:rFonts w:ascii="Verdana" w:hAnsi="Verdana"/>
          <w:b/>
          <w:bCs/>
        </w:rPr>
      </w:pPr>
    </w:p>
    <w:p w14:paraId="7FE05772" w14:textId="77777777" w:rsidR="00CF72D0" w:rsidRDefault="00CF72D0" w:rsidP="001927CF">
      <w:pPr>
        <w:spacing w:line="276" w:lineRule="auto"/>
        <w:rPr>
          <w:rFonts w:ascii="Verdana" w:hAnsi="Verdana"/>
          <w:b/>
          <w:bCs/>
        </w:rPr>
      </w:pPr>
    </w:p>
    <w:p w14:paraId="5BC63832" w14:textId="77777777" w:rsidR="00CF72D0" w:rsidRDefault="00CF72D0" w:rsidP="001927CF">
      <w:pPr>
        <w:spacing w:line="276" w:lineRule="auto"/>
        <w:rPr>
          <w:rFonts w:ascii="Verdana" w:hAnsi="Verdana"/>
          <w:b/>
          <w:bCs/>
        </w:rPr>
      </w:pPr>
    </w:p>
    <w:p w14:paraId="28719A63" w14:textId="77777777" w:rsidR="00CF72D0" w:rsidRDefault="00CF72D0" w:rsidP="001927CF">
      <w:pPr>
        <w:spacing w:line="276" w:lineRule="auto"/>
        <w:rPr>
          <w:rFonts w:ascii="Verdana" w:hAnsi="Verdana"/>
          <w:b/>
          <w:bCs/>
        </w:rPr>
      </w:pPr>
    </w:p>
    <w:p w14:paraId="10BD0B33" w14:textId="77777777" w:rsidR="00CF72D0" w:rsidRDefault="00CF72D0" w:rsidP="001927CF">
      <w:pPr>
        <w:spacing w:line="276" w:lineRule="auto"/>
        <w:rPr>
          <w:rFonts w:ascii="Verdana" w:hAnsi="Verdana"/>
          <w:b/>
          <w:bCs/>
        </w:rPr>
      </w:pPr>
    </w:p>
    <w:p w14:paraId="625DE3E7" w14:textId="77777777" w:rsidR="00CF72D0" w:rsidRDefault="00CF72D0" w:rsidP="001927CF">
      <w:pPr>
        <w:spacing w:line="276" w:lineRule="auto"/>
        <w:rPr>
          <w:rFonts w:ascii="Verdana" w:hAnsi="Verdana"/>
          <w:b/>
          <w:bCs/>
        </w:rPr>
      </w:pPr>
    </w:p>
    <w:p w14:paraId="72CA5E57" w14:textId="77777777" w:rsidR="00CF72D0" w:rsidRDefault="00CF72D0" w:rsidP="001927CF">
      <w:pPr>
        <w:spacing w:line="276" w:lineRule="auto"/>
        <w:rPr>
          <w:rFonts w:ascii="Verdana" w:hAnsi="Verdana"/>
          <w:b/>
          <w:bCs/>
        </w:rPr>
      </w:pPr>
    </w:p>
    <w:p w14:paraId="7AA2D0FB" w14:textId="77777777" w:rsidR="00CF72D0" w:rsidRDefault="00CF72D0" w:rsidP="001927CF">
      <w:pPr>
        <w:spacing w:line="276" w:lineRule="auto"/>
        <w:rPr>
          <w:rFonts w:ascii="Verdana" w:hAnsi="Verdana"/>
          <w:b/>
          <w:bCs/>
        </w:rPr>
      </w:pPr>
    </w:p>
    <w:p w14:paraId="2C99A77E" w14:textId="77777777" w:rsidR="00CF72D0" w:rsidRDefault="00CF72D0" w:rsidP="001927CF">
      <w:pPr>
        <w:spacing w:line="276" w:lineRule="auto"/>
        <w:rPr>
          <w:rFonts w:ascii="Verdana" w:hAnsi="Verdana"/>
          <w:b/>
          <w:bCs/>
        </w:rPr>
      </w:pPr>
    </w:p>
    <w:p w14:paraId="3787DBCA" w14:textId="77777777" w:rsidR="00CF72D0" w:rsidRDefault="00CF72D0" w:rsidP="001927CF">
      <w:pPr>
        <w:spacing w:line="276" w:lineRule="auto"/>
        <w:rPr>
          <w:rFonts w:ascii="Verdana" w:hAnsi="Verdana"/>
          <w:b/>
          <w:bCs/>
        </w:rPr>
      </w:pPr>
    </w:p>
    <w:p w14:paraId="2620F039" w14:textId="1E827C63" w:rsidR="00812F07" w:rsidRPr="008D36CD" w:rsidRDefault="00EF6757" w:rsidP="00061DE5">
      <w:pPr>
        <w:pStyle w:val="Heading1"/>
        <w:rPr>
          <w:color w:val="FF0000"/>
        </w:rPr>
      </w:pPr>
      <w:r w:rsidRPr="001927CF">
        <w:lastRenderedPageBreak/>
        <w:t>Inequalities in Higher Education</w:t>
      </w:r>
      <w:r w:rsidR="00C94C1D" w:rsidRPr="001927CF">
        <w:t xml:space="preserve"> </w:t>
      </w:r>
    </w:p>
    <w:p w14:paraId="1BB98050" w14:textId="5B0F838F" w:rsidR="00B33AE1" w:rsidRPr="001927CF" w:rsidRDefault="00391149" w:rsidP="001927CF">
      <w:pPr>
        <w:spacing w:line="276" w:lineRule="auto"/>
        <w:rPr>
          <w:rFonts w:ascii="Verdana" w:hAnsi="Verdana"/>
        </w:rPr>
      </w:pPr>
      <w:r w:rsidRPr="001927CF">
        <w:rPr>
          <w:rFonts w:ascii="Verdana" w:hAnsi="Verdana"/>
        </w:rPr>
        <w:t>Research highlights numerous inequalities in Higher Education</w:t>
      </w:r>
      <w:r w:rsidR="0019187B">
        <w:rPr>
          <w:rFonts w:ascii="Verdana" w:hAnsi="Verdana"/>
        </w:rPr>
        <w:t xml:space="preserve"> that </w:t>
      </w:r>
      <w:r w:rsidR="003C1295" w:rsidRPr="001927CF">
        <w:rPr>
          <w:rFonts w:ascii="Verdana" w:hAnsi="Verdana"/>
        </w:rPr>
        <w:t>affect staff and students</w:t>
      </w:r>
      <w:r w:rsidR="0019187B">
        <w:rPr>
          <w:rFonts w:ascii="Verdana" w:hAnsi="Verdana"/>
        </w:rPr>
        <w:t xml:space="preserve"> at institutions across the UK</w:t>
      </w:r>
      <w:r w:rsidR="003C1295" w:rsidRPr="001927CF">
        <w:rPr>
          <w:rFonts w:ascii="Verdana" w:hAnsi="Verdana"/>
        </w:rPr>
        <w:t>. Advance HE note</w:t>
      </w:r>
      <w:r w:rsidR="0019187B">
        <w:rPr>
          <w:rFonts w:ascii="Verdana" w:hAnsi="Verdana"/>
        </w:rPr>
        <w:t>s</w:t>
      </w:r>
      <w:r w:rsidR="003C1295" w:rsidRPr="001927CF">
        <w:rPr>
          <w:rFonts w:ascii="Verdana" w:hAnsi="Verdana"/>
        </w:rPr>
        <w:t xml:space="preserve"> that u</w:t>
      </w:r>
      <w:r w:rsidR="00296417" w:rsidRPr="001927CF">
        <w:rPr>
          <w:rFonts w:ascii="Verdana" w:hAnsi="Verdana"/>
        </w:rPr>
        <w:t>nder-representation</w:t>
      </w:r>
      <w:r w:rsidR="00B7446F">
        <w:rPr>
          <w:rFonts w:ascii="Verdana" w:hAnsi="Verdana"/>
        </w:rPr>
        <w:t xml:space="preserve"> </w:t>
      </w:r>
      <w:r w:rsidR="00296417" w:rsidRPr="001927CF">
        <w:rPr>
          <w:rFonts w:ascii="Verdana" w:hAnsi="Verdana"/>
        </w:rPr>
        <w:t>of ethnic minority s</w:t>
      </w:r>
      <w:r w:rsidR="00472B99" w:rsidRPr="001927CF">
        <w:rPr>
          <w:rFonts w:ascii="Verdana" w:hAnsi="Verdana"/>
        </w:rPr>
        <w:t>taff, staff with disclosed disabilities and women</w:t>
      </w:r>
      <w:r w:rsidR="00006DE4">
        <w:rPr>
          <w:rFonts w:ascii="Verdana" w:hAnsi="Verdana"/>
        </w:rPr>
        <w:t xml:space="preserve"> (</w:t>
      </w:r>
      <w:r w:rsidR="006A3904" w:rsidRPr="008266EB">
        <w:rPr>
          <w:rFonts w:ascii="Verdana" w:hAnsi="Verdana"/>
          <w:color w:val="000000" w:themeColor="text1"/>
        </w:rPr>
        <w:t>particularly</w:t>
      </w:r>
      <w:r w:rsidR="00296417" w:rsidRPr="008266EB">
        <w:rPr>
          <w:rFonts w:ascii="Verdana" w:hAnsi="Verdana"/>
          <w:color w:val="000000" w:themeColor="text1"/>
        </w:rPr>
        <w:t xml:space="preserve"> in senior roles</w:t>
      </w:r>
      <w:r w:rsidR="00006DE4">
        <w:rPr>
          <w:rFonts w:ascii="Verdana" w:hAnsi="Verdana"/>
          <w:color w:val="000000" w:themeColor="text1"/>
        </w:rPr>
        <w:t>)</w:t>
      </w:r>
      <w:r w:rsidRPr="008266EB">
        <w:rPr>
          <w:rFonts w:ascii="Verdana" w:hAnsi="Verdana"/>
          <w:color w:val="000000" w:themeColor="text1"/>
        </w:rPr>
        <w:t xml:space="preserve"> </w:t>
      </w:r>
      <w:r w:rsidR="0019187B">
        <w:rPr>
          <w:rFonts w:ascii="Verdana" w:hAnsi="Verdana"/>
        </w:rPr>
        <w:t>indicates</w:t>
      </w:r>
      <w:r w:rsidR="00296417" w:rsidRPr="001927CF">
        <w:rPr>
          <w:rFonts w:ascii="Verdana" w:hAnsi="Verdana"/>
        </w:rPr>
        <w:t xml:space="preserve"> </w:t>
      </w:r>
      <w:r w:rsidR="00006DE4">
        <w:rPr>
          <w:rFonts w:ascii="Verdana" w:hAnsi="Verdana"/>
        </w:rPr>
        <w:t xml:space="preserve">that there are </w:t>
      </w:r>
      <w:r w:rsidR="00296417" w:rsidRPr="001927CF">
        <w:rPr>
          <w:rFonts w:ascii="Verdana" w:hAnsi="Verdana"/>
        </w:rPr>
        <w:t>barriers to career progression</w:t>
      </w:r>
      <w:r w:rsidR="00CF1D09" w:rsidRPr="001927CF">
        <w:rPr>
          <w:rFonts w:ascii="Verdana" w:hAnsi="Verdana"/>
        </w:rPr>
        <w:t xml:space="preserve"> </w:t>
      </w:r>
      <w:r w:rsidR="00006DE4">
        <w:rPr>
          <w:rFonts w:ascii="Verdana" w:hAnsi="Verdana"/>
        </w:rPr>
        <w:t xml:space="preserve">for these groups </w:t>
      </w:r>
      <w:r w:rsidR="0019187B">
        <w:rPr>
          <w:rFonts w:ascii="Verdana" w:hAnsi="Verdana"/>
        </w:rPr>
        <w:t>that h</w:t>
      </w:r>
      <w:r w:rsidR="00CF1D09" w:rsidRPr="001927CF">
        <w:rPr>
          <w:rFonts w:ascii="Verdana" w:hAnsi="Verdana"/>
        </w:rPr>
        <w:t>a</w:t>
      </w:r>
      <w:r w:rsidR="0019187B">
        <w:rPr>
          <w:rFonts w:ascii="Verdana" w:hAnsi="Verdana"/>
        </w:rPr>
        <w:t>ve</w:t>
      </w:r>
      <w:r w:rsidR="00CF1D09" w:rsidRPr="001927CF">
        <w:rPr>
          <w:rFonts w:ascii="Verdana" w:hAnsi="Verdana"/>
        </w:rPr>
        <w:t xml:space="preserve"> wider EDI implications for the sector</w:t>
      </w:r>
      <w:r w:rsidR="005E045D" w:rsidRPr="001927CF">
        <w:rPr>
          <w:rFonts w:ascii="Verdana" w:hAnsi="Verdana"/>
        </w:rPr>
        <w:t>.</w:t>
      </w:r>
      <w:r w:rsidR="005E045D" w:rsidRPr="001927CF">
        <w:rPr>
          <w:rStyle w:val="FootnoteReference"/>
          <w:rFonts w:ascii="Verdana" w:hAnsi="Verdana"/>
        </w:rPr>
        <w:footnoteReference w:id="4"/>
      </w:r>
      <w:r w:rsidR="00CD3293" w:rsidRPr="001927CF">
        <w:rPr>
          <w:rFonts w:ascii="Verdana" w:hAnsi="Verdana"/>
        </w:rPr>
        <w:t xml:space="preserve"> </w:t>
      </w:r>
      <w:r w:rsidR="00B33AE1" w:rsidRPr="001927CF">
        <w:rPr>
          <w:rFonts w:ascii="Verdana" w:hAnsi="Verdana"/>
        </w:rPr>
        <w:t>Academics have cited</w:t>
      </w:r>
      <w:r w:rsidR="00161A67" w:rsidRPr="001927CF">
        <w:rPr>
          <w:rFonts w:ascii="Verdana" w:hAnsi="Verdana"/>
        </w:rPr>
        <w:t xml:space="preserve"> </w:t>
      </w:r>
      <w:r w:rsidR="00B33AE1" w:rsidRPr="001927CF">
        <w:rPr>
          <w:rFonts w:ascii="Verdana" w:hAnsi="Verdana"/>
        </w:rPr>
        <w:t xml:space="preserve">working </w:t>
      </w:r>
      <w:r w:rsidR="00161A67" w:rsidRPr="001927CF">
        <w:rPr>
          <w:rFonts w:ascii="Verdana" w:hAnsi="Verdana"/>
        </w:rPr>
        <w:t>conditions</w:t>
      </w:r>
      <w:r w:rsidR="00F46232" w:rsidRPr="001927CF">
        <w:rPr>
          <w:rFonts w:ascii="Verdana" w:hAnsi="Verdana"/>
        </w:rPr>
        <w:t xml:space="preserve">, ranging from bullying and harassment to casualisation and precarity, </w:t>
      </w:r>
      <w:r w:rsidR="0019187B">
        <w:rPr>
          <w:rFonts w:ascii="Verdana" w:hAnsi="Verdana"/>
        </w:rPr>
        <w:t>that are</w:t>
      </w:r>
      <w:r w:rsidR="00B33AE1" w:rsidRPr="001927CF">
        <w:rPr>
          <w:rFonts w:ascii="Verdana" w:hAnsi="Verdana"/>
        </w:rPr>
        <w:t xml:space="preserve"> detrimental to</w:t>
      </w:r>
      <w:r w:rsidR="00161A67" w:rsidRPr="001927CF">
        <w:rPr>
          <w:rFonts w:ascii="Verdana" w:hAnsi="Verdana"/>
        </w:rPr>
        <w:t xml:space="preserve"> inclusivity in</w:t>
      </w:r>
      <w:r w:rsidR="00B33AE1" w:rsidRPr="001927CF">
        <w:rPr>
          <w:rFonts w:ascii="Verdana" w:hAnsi="Verdana"/>
        </w:rPr>
        <w:t xml:space="preserve"> the sector</w:t>
      </w:r>
      <w:r w:rsidR="00161A67" w:rsidRPr="001927CF">
        <w:rPr>
          <w:rFonts w:ascii="Verdana" w:hAnsi="Verdana"/>
        </w:rPr>
        <w:t xml:space="preserve">. </w:t>
      </w:r>
      <w:r w:rsidR="00006DE4">
        <w:rPr>
          <w:rFonts w:ascii="Verdana" w:hAnsi="Verdana"/>
        </w:rPr>
        <w:t xml:space="preserve">Precarity </w:t>
      </w:r>
      <w:r w:rsidR="00125692" w:rsidRPr="001927CF">
        <w:rPr>
          <w:rFonts w:ascii="Verdana" w:hAnsi="Verdana"/>
        </w:rPr>
        <w:t>intersects with</w:t>
      </w:r>
      <w:r w:rsidR="00006DE4">
        <w:rPr>
          <w:rFonts w:ascii="Verdana" w:hAnsi="Verdana"/>
        </w:rPr>
        <w:t xml:space="preserve"> the</w:t>
      </w:r>
      <w:r w:rsidR="00125692" w:rsidRPr="001927CF">
        <w:rPr>
          <w:rFonts w:ascii="Verdana" w:hAnsi="Verdana"/>
        </w:rPr>
        <w:t xml:space="preserve"> underrepresentation </w:t>
      </w:r>
      <w:r w:rsidR="0019187B">
        <w:rPr>
          <w:rFonts w:ascii="Verdana" w:hAnsi="Verdana"/>
        </w:rPr>
        <w:t xml:space="preserve">of </w:t>
      </w:r>
      <w:proofErr w:type="spellStart"/>
      <w:r w:rsidR="0019187B">
        <w:rPr>
          <w:rFonts w:ascii="Verdana" w:hAnsi="Verdana"/>
        </w:rPr>
        <w:t>minoritised</w:t>
      </w:r>
      <w:proofErr w:type="spellEnd"/>
      <w:r w:rsidR="0019187B">
        <w:rPr>
          <w:rFonts w:ascii="Verdana" w:hAnsi="Verdana"/>
        </w:rPr>
        <w:t xml:space="preserve"> individuals </w:t>
      </w:r>
      <w:r w:rsidR="00125692" w:rsidRPr="001927CF">
        <w:rPr>
          <w:rFonts w:ascii="Verdana" w:hAnsi="Verdana"/>
        </w:rPr>
        <w:t xml:space="preserve">in the sector, with </w:t>
      </w:r>
      <w:r w:rsidR="0019187B">
        <w:rPr>
          <w:rFonts w:ascii="Verdana" w:hAnsi="Verdana"/>
        </w:rPr>
        <w:t>B</w:t>
      </w:r>
      <w:r w:rsidR="00125692" w:rsidRPr="001927CF">
        <w:rPr>
          <w:rFonts w:ascii="Verdana" w:hAnsi="Verdana"/>
        </w:rPr>
        <w:t xml:space="preserve">lack staff 50% more likely than white staff to be on a zero-hours </w:t>
      </w:r>
      <w:r w:rsidR="00125692" w:rsidRPr="001927CF">
        <w:rPr>
          <w:rFonts w:ascii="Verdana" w:hAnsi="Verdana"/>
          <w:color w:val="000000" w:themeColor="text1"/>
        </w:rPr>
        <w:t>contract.</w:t>
      </w:r>
      <w:r w:rsidR="004D6410" w:rsidRPr="001927CF">
        <w:rPr>
          <w:rStyle w:val="FootnoteReference"/>
          <w:rFonts w:ascii="Verdana" w:hAnsi="Verdana"/>
        </w:rPr>
        <w:footnoteReference w:id="5"/>
      </w:r>
      <w:r w:rsidR="004D6410">
        <w:rPr>
          <w:rFonts w:ascii="Verdana" w:hAnsi="Verdana"/>
        </w:rPr>
        <w:t xml:space="preserve"> </w:t>
      </w:r>
      <w:r w:rsidR="00BF571B" w:rsidRPr="001927CF">
        <w:rPr>
          <w:rFonts w:ascii="Verdana" w:hAnsi="Verdana"/>
          <w:color w:val="000000" w:themeColor="text1"/>
        </w:rPr>
        <w:t xml:space="preserve"> </w:t>
      </w:r>
      <w:r w:rsidR="00CC7B8A" w:rsidRPr="001927CF">
        <w:rPr>
          <w:rFonts w:ascii="Verdana" w:hAnsi="Verdana"/>
          <w:color w:val="000000" w:themeColor="text1"/>
        </w:rPr>
        <w:t xml:space="preserve">These issues also significantly </w:t>
      </w:r>
      <w:r w:rsidR="00DD6CBC" w:rsidRPr="001927CF">
        <w:rPr>
          <w:rFonts w:ascii="Verdana" w:hAnsi="Verdana"/>
          <w:color w:val="000000" w:themeColor="text1"/>
        </w:rPr>
        <w:t xml:space="preserve">affect staff with caring responsibilities </w:t>
      </w:r>
      <w:r w:rsidR="0019187B">
        <w:rPr>
          <w:rFonts w:ascii="Verdana" w:hAnsi="Verdana"/>
          <w:color w:val="000000" w:themeColor="text1"/>
        </w:rPr>
        <w:t>and with</w:t>
      </w:r>
      <w:r w:rsidR="00DD6CBC" w:rsidRPr="001927CF">
        <w:rPr>
          <w:rFonts w:ascii="Verdana" w:hAnsi="Verdana"/>
          <w:color w:val="000000" w:themeColor="text1"/>
        </w:rPr>
        <w:t xml:space="preserve"> health conditions.</w:t>
      </w:r>
      <w:r w:rsidR="00006DE4">
        <w:rPr>
          <w:rFonts w:ascii="Verdana" w:hAnsi="Verdana"/>
          <w:color w:val="000000" w:themeColor="text1"/>
        </w:rPr>
        <w:t xml:space="preserve"> It is more</w:t>
      </w:r>
      <w:r w:rsidR="00DD6CBC" w:rsidRPr="001927CF">
        <w:rPr>
          <w:rFonts w:ascii="Verdana" w:hAnsi="Verdana"/>
          <w:color w:val="000000" w:themeColor="text1"/>
        </w:rPr>
        <w:t xml:space="preserve"> </w:t>
      </w:r>
      <w:r w:rsidR="007D6DF3">
        <w:rPr>
          <w:rFonts w:ascii="Verdana" w:hAnsi="Verdana"/>
          <w:color w:val="000000" w:themeColor="text1"/>
        </w:rPr>
        <w:t xml:space="preserve">difficult for disabled staff and those with caring responsibilities to manage the financial disadvantages and attendant stress linked to insecure contracts, and these situations themselves have </w:t>
      </w:r>
      <w:r w:rsidR="00177D8F">
        <w:rPr>
          <w:rFonts w:ascii="Verdana" w:hAnsi="Verdana"/>
          <w:color w:val="000000" w:themeColor="text1"/>
        </w:rPr>
        <w:t>negative</w:t>
      </w:r>
      <w:r w:rsidR="007D6DF3">
        <w:rPr>
          <w:rFonts w:ascii="Verdana" w:hAnsi="Verdana"/>
          <w:color w:val="000000" w:themeColor="text1"/>
        </w:rPr>
        <w:t xml:space="preserve"> impacts on those working in this way.</w:t>
      </w:r>
      <w:r w:rsidR="007D6DF3">
        <w:rPr>
          <w:rStyle w:val="FootnoteReference"/>
          <w:rFonts w:ascii="Verdana" w:hAnsi="Verdana"/>
          <w:color w:val="000000" w:themeColor="text1"/>
        </w:rPr>
        <w:footnoteReference w:id="6"/>
      </w:r>
    </w:p>
    <w:p w14:paraId="29EFB16A" w14:textId="77777777" w:rsidR="00B33AE1" w:rsidRPr="001927CF" w:rsidRDefault="00B33AE1" w:rsidP="001927CF">
      <w:pPr>
        <w:spacing w:line="276" w:lineRule="auto"/>
        <w:rPr>
          <w:rFonts w:ascii="Verdana" w:hAnsi="Verdana"/>
        </w:rPr>
      </w:pPr>
    </w:p>
    <w:p w14:paraId="3A2BA782" w14:textId="193BFB1B" w:rsidR="00E93D40" w:rsidRPr="007A328E" w:rsidRDefault="008F571B" w:rsidP="00750227">
      <w:pPr>
        <w:spacing w:line="276" w:lineRule="auto"/>
        <w:rPr>
          <w:rFonts w:ascii="Verdana" w:hAnsi="Verdana"/>
          <w:color w:val="000000" w:themeColor="text1"/>
        </w:rPr>
      </w:pPr>
      <w:r w:rsidRPr="008C4612">
        <w:rPr>
          <w:rFonts w:ascii="Verdana" w:hAnsi="Verdana"/>
          <w:color w:val="000000" w:themeColor="text1"/>
        </w:rPr>
        <w:t xml:space="preserve">Retention </w:t>
      </w:r>
      <w:r w:rsidRPr="001927CF">
        <w:rPr>
          <w:rFonts w:ascii="Verdana" w:hAnsi="Verdana"/>
        </w:rPr>
        <w:t>and a</w:t>
      </w:r>
      <w:r w:rsidR="000160BC" w:rsidRPr="001927CF">
        <w:rPr>
          <w:rFonts w:ascii="Verdana" w:hAnsi="Verdana"/>
        </w:rPr>
        <w:t xml:space="preserve">warding gaps </w:t>
      </w:r>
      <w:r w:rsidR="00130577" w:rsidRPr="001927CF">
        <w:rPr>
          <w:rFonts w:ascii="Verdana" w:hAnsi="Verdana"/>
        </w:rPr>
        <w:t>highlight measurable inequalities for students relating to gender, sexuality, ethnicity, disability</w:t>
      </w:r>
      <w:r w:rsidRPr="001927CF">
        <w:rPr>
          <w:rFonts w:ascii="Verdana" w:hAnsi="Verdana"/>
        </w:rPr>
        <w:t>,</w:t>
      </w:r>
      <w:r w:rsidR="00130577" w:rsidRPr="001927CF">
        <w:rPr>
          <w:rFonts w:ascii="Verdana" w:hAnsi="Verdana"/>
        </w:rPr>
        <w:t xml:space="preserve"> socio-economic background</w:t>
      </w:r>
      <w:r w:rsidRPr="001927CF">
        <w:rPr>
          <w:rFonts w:ascii="Verdana" w:hAnsi="Verdana"/>
        </w:rPr>
        <w:t xml:space="preserve"> and care leavers</w:t>
      </w:r>
      <w:r w:rsidR="005E045D" w:rsidRPr="001927CF">
        <w:rPr>
          <w:rFonts w:ascii="Verdana" w:hAnsi="Verdana"/>
        </w:rPr>
        <w:t>.</w:t>
      </w:r>
      <w:r w:rsidR="005E045D" w:rsidRPr="001927CF">
        <w:rPr>
          <w:rStyle w:val="FootnoteReference"/>
          <w:rFonts w:ascii="Verdana" w:hAnsi="Verdana"/>
        </w:rPr>
        <w:footnoteReference w:id="7"/>
      </w:r>
      <w:r w:rsidR="00130577" w:rsidRPr="001927CF">
        <w:rPr>
          <w:rFonts w:ascii="Verdana" w:hAnsi="Verdana"/>
          <w:color w:val="000000" w:themeColor="text1"/>
        </w:rPr>
        <w:t xml:space="preserve"> </w:t>
      </w:r>
      <w:r w:rsidR="00FC7BF3" w:rsidRPr="001927CF">
        <w:rPr>
          <w:rFonts w:ascii="Verdana" w:hAnsi="Verdana"/>
          <w:color w:val="000000" w:themeColor="text1"/>
        </w:rPr>
        <w:t xml:space="preserve">One </w:t>
      </w:r>
      <w:hyperlink r:id="rId14" w:history="1">
        <w:r w:rsidR="00FC7BF3" w:rsidRPr="00CB6921">
          <w:rPr>
            <w:rStyle w:val="Hyperlink"/>
            <w:rFonts w:ascii="Verdana" w:hAnsi="Verdana"/>
          </w:rPr>
          <w:t>report</w:t>
        </w:r>
        <w:r w:rsidR="004871A8" w:rsidRPr="00CB6921">
          <w:rPr>
            <w:rStyle w:val="Hyperlink"/>
            <w:rFonts w:ascii="Verdana" w:hAnsi="Verdana"/>
          </w:rPr>
          <w:t xml:space="preserve"> </w:t>
        </w:r>
        <w:r w:rsidR="00CB6921" w:rsidRPr="00CB6921">
          <w:rPr>
            <w:rStyle w:val="Hyperlink"/>
            <w:rFonts w:ascii="Verdana" w:hAnsi="Verdana"/>
          </w:rPr>
          <w:t>by the Office for Students</w:t>
        </w:r>
      </w:hyperlink>
      <w:r w:rsidR="00CB6921">
        <w:rPr>
          <w:rFonts w:ascii="Verdana" w:hAnsi="Verdana"/>
          <w:color w:val="000000" w:themeColor="text1"/>
        </w:rPr>
        <w:t xml:space="preserve"> </w:t>
      </w:r>
      <w:r w:rsidR="004871A8" w:rsidRPr="001927CF">
        <w:rPr>
          <w:rFonts w:ascii="Verdana" w:hAnsi="Verdana"/>
          <w:color w:val="000000" w:themeColor="text1"/>
        </w:rPr>
        <w:t>also</w:t>
      </w:r>
      <w:r w:rsidR="00FC7BF3" w:rsidRPr="001927CF">
        <w:rPr>
          <w:rFonts w:ascii="Verdana" w:hAnsi="Verdana"/>
          <w:color w:val="000000" w:themeColor="text1"/>
        </w:rPr>
        <w:t xml:space="preserve"> </w:t>
      </w:r>
      <w:r w:rsidR="00FC7BF3" w:rsidRPr="001927CF">
        <w:rPr>
          <w:rFonts w:ascii="Verdana" w:hAnsi="Verdana"/>
          <w:color w:val="000000" w:themeColor="text1"/>
        </w:rPr>
        <w:lastRenderedPageBreak/>
        <w:t>highlighted geographical inequalities</w:t>
      </w:r>
      <w:r w:rsidR="0066453E" w:rsidRPr="001927CF">
        <w:rPr>
          <w:rFonts w:ascii="Verdana" w:hAnsi="Verdana"/>
          <w:color w:val="000000" w:themeColor="text1"/>
        </w:rPr>
        <w:t xml:space="preserve"> in terms of access to HE and to graduate-level employment opportunities and earnings</w:t>
      </w:r>
      <w:r w:rsidR="004F631E" w:rsidRPr="001927CF">
        <w:rPr>
          <w:rFonts w:ascii="Verdana" w:hAnsi="Verdana"/>
          <w:color w:val="000000" w:themeColor="text1"/>
        </w:rPr>
        <w:t>.</w:t>
      </w:r>
      <w:r w:rsidR="004F631E" w:rsidRPr="001927CF">
        <w:rPr>
          <w:rStyle w:val="FootnoteReference"/>
          <w:rFonts w:ascii="Verdana" w:hAnsi="Verdana"/>
          <w:color w:val="000000" w:themeColor="text1"/>
        </w:rPr>
        <w:footnoteReference w:id="8"/>
      </w:r>
      <w:r w:rsidR="004A4889" w:rsidRPr="001927CF">
        <w:rPr>
          <w:rFonts w:ascii="Verdana" w:hAnsi="Verdana"/>
          <w:color w:val="000000" w:themeColor="text1"/>
        </w:rPr>
        <w:t xml:space="preserve"> Additional inequalities were noted </w:t>
      </w:r>
      <w:r w:rsidR="00495E92" w:rsidRPr="001927CF">
        <w:rPr>
          <w:rFonts w:ascii="Verdana" w:hAnsi="Verdana"/>
          <w:color w:val="000000" w:themeColor="text1"/>
        </w:rPr>
        <w:t>for</w:t>
      </w:r>
      <w:r w:rsidR="004A4889" w:rsidRPr="001927CF">
        <w:rPr>
          <w:rFonts w:ascii="Verdana" w:hAnsi="Verdana"/>
          <w:color w:val="000000" w:themeColor="text1"/>
        </w:rPr>
        <w:t xml:space="preserve"> </w:t>
      </w:r>
      <w:r w:rsidR="00E4058F" w:rsidRPr="001927CF">
        <w:rPr>
          <w:rFonts w:ascii="Verdana" w:hAnsi="Verdana"/>
          <w:color w:val="000000" w:themeColor="text1"/>
        </w:rPr>
        <w:t xml:space="preserve">the increasing number of </w:t>
      </w:r>
      <w:r w:rsidR="004A4889" w:rsidRPr="001927CF">
        <w:rPr>
          <w:rFonts w:ascii="Verdana" w:hAnsi="Verdana"/>
          <w:color w:val="000000" w:themeColor="text1"/>
        </w:rPr>
        <w:t>local and commuter students</w:t>
      </w:r>
      <w:r w:rsidR="00AE2ABC" w:rsidRPr="001927CF">
        <w:rPr>
          <w:rFonts w:ascii="Verdana" w:hAnsi="Verdana"/>
          <w:color w:val="000000" w:themeColor="text1"/>
        </w:rPr>
        <w:t>,</w:t>
      </w:r>
      <w:r w:rsidR="00E4058F" w:rsidRPr="001927CF">
        <w:rPr>
          <w:rFonts w:ascii="Verdana" w:hAnsi="Verdana"/>
          <w:color w:val="000000" w:themeColor="text1"/>
        </w:rPr>
        <w:t xml:space="preserve"> </w:t>
      </w:r>
      <w:r w:rsidR="00495E92" w:rsidRPr="001927CF">
        <w:rPr>
          <w:rFonts w:ascii="Verdana" w:hAnsi="Verdana"/>
          <w:color w:val="000000" w:themeColor="text1"/>
        </w:rPr>
        <w:t xml:space="preserve">especially where this intersected with socio-economic background or </w:t>
      </w:r>
      <w:r w:rsidR="008D7220" w:rsidRPr="001927CF">
        <w:rPr>
          <w:rFonts w:ascii="Verdana" w:hAnsi="Verdana"/>
          <w:color w:val="000000" w:themeColor="text1"/>
        </w:rPr>
        <w:t>ethnicity</w:t>
      </w:r>
      <w:r w:rsidR="00495E92" w:rsidRPr="001927CF">
        <w:rPr>
          <w:rFonts w:ascii="Verdana" w:hAnsi="Verdana"/>
          <w:color w:val="000000" w:themeColor="text1"/>
        </w:rPr>
        <w:t>.</w:t>
      </w:r>
      <w:r w:rsidR="00495E92" w:rsidRPr="001927CF">
        <w:rPr>
          <w:rStyle w:val="FootnoteReference"/>
          <w:rFonts w:ascii="Verdana" w:hAnsi="Verdana"/>
          <w:color w:val="000000" w:themeColor="text1"/>
        </w:rPr>
        <w:footnoteReference w:id="9"/>
      </w:r>
      <w:r w:rsidR="001C25DB">
        <w:rPr>
          <w:rFonts w:ascii="Verdana" w:hAnsi="Verdana"/>
          <w:color w:val="FF0000"/>
        </w:rPr>
        <w:t xml:space="preserve"> </w:t>
      </w:r>
      <w:r w:rsidR="00DC75EF" w:rsidRPr="007A328E">
        <w:rPr>
          <w:rFonts w:ascii="Verdana" w:hAnsi="Verdana"/>
          <w:color w:val="000000" w:themeColor="text1"/>
        </w:rPr>
        <w:t xml:space="preserve">Numerous reports document discrimination, harassment and feelings of exclusion across the HE sector. A </w:t>
      </w:r>
      <w:hyperlink r:id="rId15" w:history="1">
        <w:r w:rsidR="00DC75EF" w:rsidRPr="007A328E">
          <w:rPr>
            <w:rStyle w:val="Hyperlink"/>
            <w:rFonts w:ascii="Verdana" w:hAnsi="Verdana"/>
            <w:color w:val="000000" w:themeColor="text1"/>
          </w:rPr>
          <w:t xml:space="preserve">2022 </w:t>
        </w:r>
        <w:r w:rsidR="00C56A25" w:rsidRPr="007A328E">
          <w:rPr>
            <w:rStyle w:val="Hyperlink"/>
            <w:rFonts w:ascii="Verdana" w:hAnsi="Verdana"/>
            <w:color w:val="000000" w:themeColor="text1"/>
          </w:rPr>
          <w:t>report</w:t>
        </w:r>
      </w:hyperlink>
      <w:r w:rsidR="00DC75EF" w:rsidRPr="007A328E">
        <w:rPr>
          <w:rFonts w:ascii="Verdana" w:hAnsi="Verdana"/>
          <w:color w:val="000000" w:themeColor="text1"/>
        </w:rPr>
        <w:t xml:space="preserve"> </w:t>
      </w:r>
      <w:r w:rsidR="00C56A25" w:rsidRPr="007A328E">
        <w:rPr>
          <w:rFonts w:ascii="Verdana" w:hAnsi="Verdana"/>
          <w:color w:val="000000" w:themeColor="text1"/>
        </w:rPr>
        <w:t>revealed</w:t>
      </w:r>
      <w:r w:rsidR="00DC75EF" w:rsidRPr="007A328E">
        <w:rPr>
          <w:rFonts w:ascii="Verdana" w:hAnsi="Verdana"/>
          <w:color w:val="000000" w:themeColor="text1"/>
        </w:rPr>
        <w:t xml:space="preserve"> that more than half of Black students surveyed experienced racism in their accommodation </w:t>
      </w:r>
      <w:r w:rsidR="00C56A25" w:rsidRPr="007A328E">
        <w:rPr>
          <w:rFonts w:ascii="Verdana" w:hAnsi="Verdana"/>
          <w:color w:val="000000" w:themeColor="text1"/>
        </w:rPr>
        <w:t>and</w:t>
      </w:r>
      <w:r w:rsidR="00DC75EF" w:rsidRPr="007A328E">
        <w:rPr>
          <w:rFonts w:ascii="Verdana" w:hAnsi="Verdana"/>
          <w:color w:val="000000" w:themeColor="text1"/>
        </w:rPr>
        <w:t xml:space="preserve"> that three-quarters</w:t>
      </w:r>
      <w:r w:rsidR="00C56A25" w:rsidRPr="007A328E">
        <w:rPr>
          <w:rFonts w:ascii="Verdana" w:hAnsi="Verdana"/>
          <w:color w:val="000000" w:themeColor="text1"/>
        </w:rPr>
        <w:t xml:space="preserve"> </w:t>
      </w:r>
      <w:r w:rsidR="00DC75EF" w:rsidRPr="007A328E">
        <w:rPr>
          <w:rFonts w:ascii="Verdana" w:hAnsi="Verdana"/>
          <w:color w:val="000000" w:themeColor="text1"/>
        </w:rPr>
        <w:t>reported negative impacts on their mental health due to racism.</w:t>
      </w:r>
      <w:r w:rsidR="00DC75EF" w:rsidRPr="007A328E">
        <w:rPr>
          <w:rStyle w:val="FootnoteReference"/>
          <w:rFonts w:ascii="Verdana" w:hAnsi="Verdana"/>
          <w:color w:val="000000" w:themeColor="text1"/>
        </w:rPr>
        <w:footnoteReference w:id="10"/>
      </w:r>
      <w:r w:rsidR="00DC75EF" w:rsidRPr="007A328E">
        <w:rPr>
          <w:rFonts w:ascii="Verdana" w:hAnsi="Verdana"/>
          <w:color w:val="000000" w:themeColor="text1"/>
        </w:rPr>
        <w:t xml:space="preserve"> </w:t>
      </w:r>
      <w:r w:rsidR="00C56A25" w:rsidRPr="007A328E">
        <w:rPr>
          <w:rFonts w:ascii="Verdana" w:hAnsi="Verdana"/>
          <w:color w:val="000000" w:themeColor="text1"/>
        </w:rPr>
        <w:t>T</w:t>
      </w:r>
      <w:r w:rsidR="00DC75EF" w:rsidRPr="007A328E">
        <w:rPr>
          <w:rFonts w:ascii="Verdana" w:hAnsi="Verdana"/>
          <w:color w:val="000000" w:themeColor="text1"/>
        </w:rPr>
        <w:t>his reflects wider concerns that Britain is ‘not close to being a racially just society’.</w:t>
      </w:r>
      <w:r w:rsidR="00DC75EF" w:rsidRPr="007A328E">
        <w:rPr>
          <w:rStyle w:val="FootnoteReference"/>
          <w:rFonts w:ascii="Verdana" w:hAnsi="Verdana"/>
          <w:color w:val="000000" w:themeColor="text1"/>
        </w:rPr>
        <w:footnoteReference w:id="11"/>
      </w:r>
      <w:r w:rsidR="00C56A25" w:rsidRPr="007A328E">
        <w:rPr>
          <w:rFonts w:ascii="Verdana" w:hAnsi="Verdana"/>
          <w:color w:val="000000" w:themeColor="text1"/>
        </w:rPr>
        <w:t xml:space="preserve"> </w:t>
      </w:r>
      <w:r w:rsidR="00DC75EF" w:rsidRPr="007A328E">
        <w:rPr>
          <w:rFonts w:ascii="Verdana" w:hAnsi="Verdana"/>
          <w:color w:val="000000" w:themeColor="text1"/>
        </w:rPr>
        <w:t xml:space="preserve">A </w:t>
      </w:r>
      <w:proofErr w:type="spellStart"/>
      <w:r w:rsidR="00DC75EF" w:rsidRPr="007A328E">
        <w:rPr>
          <w:rFonts w:ascii="Verdana" w:hAnsi="Verdana"/>
          <w:color w:val="000000" w:themeColor="text1"/>
        </w:rPr>
        <w:t>Wonkhe</w:t>
      </w:r>
      <w:proofErr w:type="spellEnd"/>
      <w:r w:rsidR="006E5233">
        <w:rPr>
          <w:rFonts w:ascii="Verdana" w:hAnsi="Verdana"/>
          <w:color w:val="000000" w:themeColor="text1"/>
        </w:rPr>
        <w:t xml:space="preserve"> </w:t>
      </w:r>
      <w:r w:rsidR="00DC75EF" w:rsidRPr="007A328E">
        <w:rPr>
          <w:rFonts w:ascii="Verdana" w:hAnsi="Verdana"/>
          <w:color w:val="000000" w:themeColor="text1"/>
        </w:rPr>
        <w:t>report on sexual harassment on university campuses noted that ‘any progress in tackling these issues has been slow, inconsistent and not widespread across the sector’.</w:t>
      </w:r>
      <w:r w:rsidR="00DC75EF" w:rsidRPr="007A328E">
        <w:rPr>
          <w:rStyle w:val="FootnoteReference"/>
          <w:rFonts w:ascii="Verdana" w:hAnsi="Verdana"/>
          <w:color w:val="000000" w:themeColor="text1"/>
        </w:rPr>
        <w:footnoteReference w:id="12"/>
      </w:r>
      <w:r w:rsidR="00DC75EF" w:rsidRPr="007A328E">
        <w:rPr>
          <w:rFonts w:ascii="Verdana" w:hAnsi="Verdana"/>
          <w:color w:val="000000" w:themeColor="text1"/>
        </w:rPr>
        <w:t xml:space="preserve"> </w:t>
      </w:r>
      <w:r w:rsidR="00750227" w:rsidRPr="007A328E">
        <w:rPr>
          <w:rFonts w:ascii="Verdana" w:hAnsi="Verdana"/>
          <w:color w:val="000000" w:themeColor="text1"/>
        </w:rPr>
        <w:t>In 2016 and 2017, guidance and recommendations were published on improving the experiences of trans staff and students in HE.</w:t>
      </w:r>
      <w:r w:rsidR="00750227" w:rsidRPr="007A328E">
        <w:rPr>
          <w:rStyle w:val="FootnoteReference"/>
          <w:rFonts w:ascii="Verdana" w:hAnsi="Verdana"/>
          <w:color w:val="000000" w:themeColor="text1"/>
        </w:rPr>
        <w:footnoteReference w:id="13"/>
      </w:r>
      <w:r w:rsidR="00750227" w:rsidRPr="007A328E">
        <w:rPr>
          <w:rFonts w:ascii="Verdana" w:hAnsi="Verdana"/>
          <w:color w:val="000000" w:themeColor="text1"/>
        </w:rPr>
        <w:t xml:space="preserve">  However in 2018, Stonewall reported that</w:t>
      </w:r>
      <w:r w:rsidR="00DC75EF" w:rsidRPr="007A328E">
        <w:rPr>
          <w:rFonts w:ascii="Verdana" w:hAnsi="Verdana"/>
          <w:color w:val="000000" w:themeColor="text1"/>
        </w:rPr>
        <w:t xml:space="preserve"> ‘experiences of discrimination and harassment at university remain high for LGBT</w:t>
      </w:r>
      <w:r w:rsidR="00750227" w:rsidRPr="007A328E">
        <w:rPr>
          <w:rFonts w:ascii="Verdana" w:hAnsi="Verdana"/>
          <w:color w:val="000000" w:themeColor="text1"/>
        </w:rPr>
        <w:t>Q</w:t>
      </w:r>
      <w:r w:rsidR="00DC75EF" w:rsidRPr="007A328E">
        <w:rPr>
          <w:rFonts w:ascii="Verdana" w:hAnsi="Verdana"/>
          <w:color w:val="000000" w:themeColor="text1"/>
        </w:rPr>
        <w:t>+ students’, and intersectional</w:t>
      </w:r>
      <w:r w:rsidR="008B353A">
        <w:rPr>
          <w:rFonts w:ascii="Verdana" w:hAnsi="Verdana"/>
          <w:color w:val="000000" w:themeColor="text1"/>
        </w:rPr>
        <w:t xml:space="preserve"> pressures</w:t>
      </w:r>
      <w:r w:rsidR="00DC75EF" w:rsidRPr="007A328E">
        <w:rPr>
          <w:rFonts w:ascii="Verdana" w:hAnsi="Verdana"/>
          <w:color w:val="000000" w:themeColor="text1"/>
        </w:rPr>
        <w:t xml:space="preserve"> further accentuated </w:t>
      </w:r>
      <w:r w:rsidR="00DC75EF" w:rsidRPr="007A328E">
        <w:rPr>
          <w:rFonts w:ascii="Verdana" w:hAnsi="Verdana"/>
          <w:color w:val="000000" w:themeColor="text1"/>
        </w:rPr>
        <w:lastRenderedPageBreak/>
        <w:t xml:space="preserve">this, particularly </w:t>
      </w:r>
      <w:r w:rsidR="008B353A">
        <w:rPr>
          <w:rFonts w:ascii="Verdana" w:hAnsi="Verdana"/>
          <w:color w:val="000000" w:themeColor="text1"/>
        </w:rPr>
        <w:t>when LGBTQ+ identity intersected with</w:t>
      </w:r>
      <w:r w:rsidR="00DC75EF" w:rsidRPr="007A328E">
        <w:rPr>
          <w:rFonts w:ascii="Verdana" w:hAnsi="Verdana"/>
          <w:color w:val="000000" w:themeColor="text1"/>
        </w:rPr>
        <w:t xml:space="preserve"> matters of race and ethnicity, disability and socio-economic background.</w:t>
      </w:r>
      <w:r w:rsidR="00DC75EF" w:rsidRPr="007A328E">
        <w:rPr>
          <w:rStyle w:val="FootnoteReference"/>
          <w:rFonts w:ascii="Verdana" w:hAnsi="Verdana"/>
          <w:color w:val="000000" w:themeColor="text1"/>
        </w:rPr>
        <w:footnoteReference w:id="14"/>
      </w:r>
      <w:r w:rsidR="00DC75EF" w:rsidRPr="007A328E">
        <w:rPr>
          <w:rFonts w:ascii="Verdana" w:hAnsi="Verdana"/>
          <w:color w:val="000000" w:themeColor="text1"/>
        </w:rPr>
        <w:t xml:space="preserve"> A 2021 UCU report, noted that both ‘homophobia and transphobia remain serious issues’. There were also concerns that teaching and research on gender and sexualities was not valued by institutions. Areas for action included: supportive work environments, collection of data on promotions, challenging the lack of value given to gender and sexuality teaching and research.</w:t>
      </w:r>
      <w:r w:rsidR="00DC75EF" w:rsidRPr="007A328E">
        <w:rPr>
          <w:rStyle w:val="FootnoteReference"/>
          <w:rFonts w:ascii="Verdana" w:hAnsi="Verdana"/>
          <w:color w:val="000000" w:themeColor="text1"/>
        </w:rPr>
        <w:footnoteReference w:id="15"/>
      </w:r>
      <w:r w:rsidR="00DC75EF" w:rsidRPr="007A328E">
        <w:rPr>
          <w:rFonts w:ascii="Verdana" w:hAnsi="Verdana"/>
          <w:color w:val="000000" w:themeColor="text1"/>
        </w:rPr>
        <w:t xml:space="preserve"> </w:t>
      </w:r>
    </w:p>
    <w:p w14:paraId="7103D77B" w14:textId="77777777" w:rsidR="00DC75EF" w:rsidRPr="001927CF" w:rsidRDefault="00DC75EF" w:rsidP="0B4088E5">
      <w:pPr>
        <w:spacing w:line="276" w:lineRule="auto"/>
        <w:rPr>
          <w:rFonts w:ascii="Verdana" w:hAnsi="Verdana"/>
        </w:rPr>
      </w:pPr>
    </w:p>
    <w:p w14:paraId="6F16EC5A" w14:textId="28638E55" w:rsidR="00AA0FE6" w:rsidRPr="00AA0FE6" w:rsidRDefault="00AA0FE6" w:rsidP="00061DE5">
      <w:pPr>
        <w:pStyle w:val="Heading1"/>
      </w:pPr>
      <w:r w:rsidRPr="00AA0FE6">
        <w:t>Priorities and Practices</w:t>
      </w:r>
    </w:p>
    <w:p w14:paraId="21D3558C" w14:textId="713709C9" w:rsidR="00242DBF" w:rsidRDefault="008537CF" w:rsidP="001927CF">
      <w:pPr>
        <w:spacing w:line="276" w:lineRule="auto"/>
        <w:rPr>
          <w:rFonts w:ascii="Verdana" w:hAnsi="Verdana"/>
        </w:rPr>
      </w:pPr>
      <w:r w:rsidRPr="001927CF">
        <w:rPr>
          <w:rFonts w:ascii="Verdana" w:hAnsi="Verdana"/>
        </w:rPr>
        <w:t xml:space="preserve">Participants </w:t>
      </w:r>
      <w:r w:rsidR="0057051E">
        <w:rPr>
          <w:rFonts w:ascii="Verdana" w:hAnsi="Verdana"/>
        </w:rPr>
        <w:t xml:space="preserve">in our focus groups </w:t>
      </w:r>
      <w:r w:rsidR="001131DC" w:rsidRPr="001927CF">
        <w:rPr>
          <w:rFonts w:ascii="Verdana" w:hAnsi="Verdana"/>
        </w:rPr>
        <w:t>highlighted</w:t>
      </w:r>
      <w:r w:rsidRPr="001927CF">
        <w:rPr>
          <w:rFonts w:ascii="Verdana" w:hAnsi="Verdana"/>
        </w:rPr>
        <w:t xml:space="preserve"> a </w:t>
      </w:r>
      <w:r w:rsidR="001131DC" w:rsidRPr="001927CF">
        <w:rPr>
          <w:rFonts w:ascii="Verdana" w:hAnsi="Verdana"/>
        </w:rPr>
        <w:t xml:space="preserve">wide </w:t>
      </w:r>
      <w:r w:rsidRPr="001927CF">
        <w:rPr>
          <w:rFonts w:ascii="Verdana" w:hAnsi="Verdana"/>
        </w:rPr>
        <w:t xml:space="preserve">range of </w:t>
      </w:r>
      <w:r w:rsidR="001131DC" w:rsidRPr="001927CF">
        <w:rPr>
          <w:rFonts w:ascii="Verdana" w:hAnsi="Verdana"/>
        </w:rPr>
        <w:t xml:space="preserve">different EDI </w:t>
      </w:r>
      <w:r w:rsidRPr="001927CF">
        <w:rPr>
          <w:rFonts w:ascii="Verdana" w:hAnsi="Verdana"/>
        </w:rPr>
        <w:t xml:space="preserve">priorities </w:t>
      </w:r>
      <w:r w:rsidR="001131DC" w:rsidRPr="001927CF">
        <w:rPr>
          <w:rFonts w:ascii="Verdana" w:hAnsi="Verdana"/>
        </w:rPr>
        <w:t>identified by their departments or units</w:t>
      </w:r>
      <w:r w:rsidR="00D466A9" w:rsidRPr="001927CF">
        <w:rPr>
          <w:rFonts w:ascii="Verdana" w:hAnsi="Verdana"/>
        </w:rPr>
        <w:t>, both before and during the pandemic. These</w:t>
      </w:r>
      <w:r w:rsidRPr="001927CF">
        <w:rPr>
          <w:rFonts w:ascii="Verdana" w:hAnsi="Verdana"/>
        </w:rPr>
        <w:t xml:space="preserve"> includ</w:t>
      </w:r>
      <w:r w:rsidR="00D466A9" w:rsidRPr="001927CF">
        <w:rPr>
          <w:rFonts w:ascii="Verdana" w:hAnsi="Verdana"/>
        </w:rPr>
        <w:t>ed defini</w:t>
      </w:r>
      <w:r w:rsidR="00C83DAB">
        <w:rPr>
          <w:rFonts w:ascii="Verdana" w:hAnsi="Verdana"/>
        </w:rPr>
        <w:t>ng</w:t>
      </w:r>
      <w:r w:rsidR="00CB6921">
        <w:rPr>
          <w:rFonts w:ascii="Verdana" w:hAnsi="Verdana"/>
        </w:rPr>
        <w:t xml:space="preserve"> the scope and parameters of</w:t>
      </w:r>
      <w:r w:rsidR="00C83DAB">
        <w:rPr>
          <w:rFonts w:ascii="Verdana" w:hAnsi="Verdana"/>
        </w:rPr>
        <w:t xml:space="preserve"> </w:t>
      </w:r>
      <w:r w:rsidR="00D466A9" w:rsidRPr="001927CF">
        <w:rPr>
          <w:rFonts w:ascii="Verdana" w:hAnsi="Verdana"/>
        </w:rPr>
        <w:t>EDI, the importance of intersectionality,</w:t>
      </w:r>
      <w:r w:rsidRPr="001927CF">
        <w:rPr>
          <w:rFonts w:ascii="Verdana" w:hAnsi="Verdana"/>
        </w:rPr>
        <w:t xml:space="preserve"> </w:t>
      </w:r>
      <w:r w:rsidR="00D466A9" w:rsidRPr="001927CF">
        <w:rPr>
          <w:rFonts w:ascii="Verdana" w:hAnsi="Verdana"/>
        </w:rPr>
        <w:t>problematic data</w:t>
      </w:r>
      <w:r w:rsidR="008535FE" w:rsidRPr="001927CF">
        <w:rPr>
          <w:rFonts w:ascii="Verdana" w:hAnsi="Verdana"/>
        </w:rPr>
        <w:t>,</w:t>
      </w:r>
      <w:r w:rsidR="00CB6921">
        <w:rPr>
          <w:rFonts w:ascii="Verdana" w:hAnsi="Verdana"/>
        </w:rPr>
        <w:t xml:space="preserve"> problems linked to</w:t>
      </w:r>
      <w:r w:rsidR="008535FE" w:rsidRPr="001927CF">
        <w:rPr>
          <w:rFonts w:ascii="Verdana" w:hAnsi="Verdana"/>
        </w:rPr>
        <w:t xml:space="preserve"> </w:t>
      </w:r>
      <w:r w:rsidR="004A4971" w:rsidRPr="001927CF">
        <w:rPr>
          <w:rFonts w:ascii="Verdana" w:hAnsi="Verdana"/>
        </w:rPr>
        <w:t xml:space="preserve">community building, issues of </w:t>
      </w:r>
      <w:r w:rsidR="00CB6921">
        <w:rPr>
          <w:rFonts w:ascii="Verdana" w:hAnsi="Verdana"/>
        </w:rPr>
        <w:t xml:space="preserve">basic </w:t>
      </w:r>
      <w:r w:rsidR="004A4971" w:rsidRPr="001927CF">
        <w:rPr>
          <w:rFonts w:ascii="Verdana" w:hAnsi="Verdana"/>
        </w:rPr>
        <w:t xml:space="preserve">accessibility, </w:t>
      </w:r>
      <w:r w:rsidR="00CB6921">
        <w:rPr>
          <w:rFonts w:ascii="Verdana" w:hAnsi="Verdana"/>
        </w:rPr>
        <w:t xml:space="preserve">the development of </w:t>
      </w:r>
      <w:r w:rsidR="004A4971" w:rsidRPr="001927CF">
        <w:rPr>
          <w:rFonts w:ascii="Verdana" w:hAnsi="Verdana"/>
        </w:rPr>
        <w:t xml:space="preserve">curriculum </w:t>
      </w:r>
      <w:r w:rsidR="00CB6921">
        <w:rPr>
          <w:rFonts w:ascii="Verdana" w:hAnsi="Verdana"/>
        </w:rPr>
        <w:t>i</w:t>
      </w:r>
      <w:r w:rsidR="00242DBF">
        <w:rPr>
          <w:rFonts w:ascii="Verdana" w:hAnsi="Verdana"/>
        </w:rPr>
        <w:t xml:space="preserve">n alignment with EDI priorities, </w:t>
      </w:r>
      <w:r w:rsidR="008535FE" w:rsidRPr="001927CF">
        <w:rPr>
          <w:rFonts w:ascii="Verdana" w:hAnsi="Verdana"/>
        </w:rPr>
        <w:t>awarding gaps</w:t>
      </w:r>
      <w:r w:rsidR="004A4971" w:rsidRPr="001927CF">
        <w:rPr>
          <w:rFonts w:ascii="Verdana" w:hAnsi="Verdana"/>
        </w:rPr>
        <w:t xml:space="preserve"> and workload. </w:t>
      </w:r>
    </w:p>
    <w:p w14:paraId="7B256ADE" w14:textId="77777777" w:rsidR="00242DBF" w:rsidRDefault="00242DBF" w:rsidP="001927CF">
      <w:pPr>
        <w:spacing w:line="276" w:lineRule="auto"/>
        <w:rPr>
          <w:rFonts w:ascii="Verdana" w:hAnsi="Verdana"/>
        </w:rPr>
      </w:pPr>
    </w:p>
    <w:p w14:paraId="001060CB" w14:textId="228A955B" w:rsidR="008537CF" w:rsidRDefault="001131DC" w:rsidP="001927CF">
      <w:pPr>
        <w:spacing w:line="276" w:lineRule="auto"/>
        <w:rPr>
          <w:rFonts w:ascii="Verdana" w:hAnsi="Verdana"/>
        </w:rPr>
      </w:pPr>
      <w:r w:rsidRPr="001927CF">
        <w:rPr>
          <w:rFonts w:ascii="Verdana" w:hAnsi="Verdana"/>
        </w:rPr>
        <w:t xml:space="preserve">A clear sense of the </w:t>
      </w:r>
      <w:r w:rsidRPr="00BA5C71">
        <w:rPr>
          <w:rFonts w:ascii="Verdana" w:hAnsi="Verdana"/>
          <w:color w:val="000000" w:themeColor="text1"/>
        </w:rPr>
        <w:t xml:space="preserve">extent </w:t>
      </w:r>
      <w:r w:rsidRPr="001927CF">
        <w:rPr>
          <w:rFonts w:ascii="Verdana" w:hAnsi="Verdana"/>
        </w:rPr>
        <w:t xml:space="preserve">of </w:t>
      </w:r>
      <w:r w:rsidR="00242DBF">
        <w:rPr>
          <w:rFonts w:ascii="Verdana" w:hAnsi="Verdana"/>
        </w:rPr>
        <w:t xml:space="preserve">EDI </w:t>
      </w:r>
      <w:r w:rsidRPr="001927CF">
        <w:rPr>
          <w:rFonts w:ascii="Verdana" w:hAnsi="Verdana"/>
        </w:rPr>
        <w:t>issues affect</w:t>
      </w:r>
      <w:r w:rsidR="00026B85">
        <w:rPr>
          <w:rFonts w:ascii="Verdana" w:hAnsi="Verdana"/>
        </w:rPr>
        <w:t>ing</w:t>
      </w:r>
      <w:r w:rsidRPr="001927CF">
        <w:rPr>
          <w:rFonts w:ascii="Verdana" w:hAnsi="Verdana"/>
        </w:rPr>
        <w:t xml:space="preserve"> students emerged in the focus groups, </w:t>
      </w:r>
      <w:r w:rsidR="00026B85">
        <w:rPr>
          <w:rFonts w:ascii="Verdana" w:hAnsi="Verdana"/>
        </w:rPr>
        <w:t>many of which were</w:t>
      </w:r>
      <w:r w:rsidRPr="001927CF">
        <w:rPr>
          <w:rFonts w:ascii="Verdana" w:hAnsi="Verdana"/>
        </w:rPr>
        <w:t xml:space="preserve"> noted to </w:t>
      </w:r>
      <w:r w:rsidR="00026B85">
        <w:rPr>
          <w:rFonts w:ascii="Verdana" w:hAnsi="Verdana"/>
        </w:rPr>
        <w:t>have been</w:t>
      </w:r>
      <w:r w:rsidRPr="001927CF">
        <w:rPr>
          <w:rFonts w:ascii="Verdana" w:hAnsi="Verdana"/>
        </w:rPr>
        <w:t xml:space="preserve"> exacerbated by the pandemic.</w:t>
      </w:r>
      <w:r w:rsidR="00041EA5" w:rsidRPr="001927CF">
        <w:rPr>
          <w:rFonts w:ascii="Verdana" w:hAnsi="Verdana"/>
        </w:rPr>
        <w:t xml:space="preserve"> It was also noted that priorities and practices were shaped by both institutional agendas, recruitment and the student body, and staff and students both individually and collectively. Participants stressed that there were limits to what could be done at departmental level highlighting wider structural issues (institutional and societal) which could undermine efforts. Generally, there was widespread </w:t>
      </w:r>
      <w:r w:rsidR="003300FF">
        <w:rPr>
          <w:rFonts w:ascii="Verdana" w:hAnsi="Verdana"/>
        </w:rPr>
        <w:t>commitment to</w:t>
      </w:r>
      <w:r w:rsidR="00041EA5" w:rsidRPr="001927CF">
        <w:rPr>
          <w:rFonts w:ascii="Verdana" w:hAnsi="Verdana"/>
        </w:rPr>
        <w:t xml:space="preserve"> and enthusiasm for subject-specific </w:t>
      </w:r>
      <w:r w:rsidR="003300FF">
        <w:rPr>
          <w:rFonts w:ascii="Verdana" w:hAnsi="Verdana"/>
        </w:rPr>
        <w:t xml:space="preserve">EDI </w:t>
      </w:r>
      <w:r w:rsidR="00041EA5" w:rsidRPr="001927CF">
        <w:rPr>
          <w:rFonts w:ascii="Verdana" w:hAnsi="Verdana"/>
        </w:rPr>
        <w:t xml:space="preserve">work, coupled with inevitable frustrations. </w:t>
      </w:r>
    </w:p>
    <w:p w14:paraId="68A37FD9" w14:textId="77777777" w:rsidR="00DC75EF" w:rsidRDefault="00DC75EF" w:rsidP="00B1553C">
      <w:pPr>
        <w:spacing w:line="276" w:lineRule="auto"/>
        <w:rPr>
          <w:rFonts w:ascii="Verdana" w:hAnsi="Verdana"/>
          <w:b/>
          <w:bCs/>
          <w:color w:val="000000" w:themeColor="text1"/>
        </w:rPr>
      </w:pPr>
    </w:p>
    <w:p w14:paraId="6F72EE77" w14:textId="77777777" w:rsidR="00FC73E8" w:rsidRDefault="00FC73E8" w:rsidP="00B1553C">
      <w:pPr>
        <w:spacing w:line="276" w:lineRule="auto"/>
        <w:rPr>
          <w:rFonts w:ascii="Verdana" w:hAnsi="Verdana"/>
          <w:b/>
          <w:bCs/>
          <w:color w:val="000000" w:themeColor="text1"/>
        </w:rPr>
      </w:pPr>
    </w:p>
    <w:p w14:paraId="4882112C" w14:textId="77777777" w:rsidR="00FC73E8" w:rsidRDefault="00FC73E8" w:rsidP="00B1553C">
      <w:pPr>
        <w:spacing w:line="276" w:lineRule="auto"/>
        <w:rPr>
          <w:rFonts w:ascii="Verdana" w:hAnsi="Verdana"/>
          <w:b/>
          <w:bCs/>
          <w:color w:val="000000" w:themeColor="text1"/>
        </w:rPr>
      </w:pPr>
    </w:p>
    <w:p w14:paraId="79CE1DE1" w14:textId="77777777" w:rsidR="00FC73E8" w:rsidRDefault="00FC73E8" w:rsidP="00B1553C">
      <w:pPr>
        <w:spacing w:line="276" w:lineRule="auto"/>
        <w:rPr>
          <w:rFonts w:ascii="Verdana" w:hAnsi="Verdana"/>
          <w:b/>
          <w:bCs/>
          <w:color w:val="000000" w:themeColor="text1"/>
        </w:rPr>
      </w:pPr>
    </w:p>
    <w:p w14:paraId="571BC376" w14:textId="50ABC4A3" w:rsidR="00D54097" w:rsidRPr="00B1553C" w:rsidRDefault="008F0B3B" w:rsidP="00061DE5">
      <w:pPr>
        <w:pStyle w:val="Heading1"/>
      </w:pPr>
      <w:r w:rsidRPr="000E43D9">
        <w:lastRenderedPageBreak/>
        <w:t>Defining EDI</w:t>
      </w:r>
      <w:r w:rsidR="00113AEB" w:rsidRPr="00B1553C">
        <w:t xml:space="preserve"> </w:t>
      </w:r>
    </w:p>
    <w:p w14:paraId="5715F9DE" w14:textId="00CE1981" w:rsidR="00DC75EF" w:rsidRDefault="00F8096B" w:rsidP="00B1553C">
      <w:pPr>
        <w:spacing w:line="276" w:lineRule="auto"/>
        <w:rPr>
          <w:rFonts w:ascii="Verdana" w:hAnsi="Verdana"/>
          <w:color w:val="000000" w:themeColor="text1"/>
        </w:rPr>
      </w:pPr>
      <w:r>
        <w:rPr>
          <w:rFonts w:ascii="Verdana" w:hAnsi="Verdana"/>
          <w:color w:val="000000" w:themeColor="text1"/>
        </w:rPr>
        <w:t xml:space="preserve">The way in which EDI is defined shapes EDI priorities and practices. </w:t>
      </w:r>
      <w:r w:rsidR="1EC5B612">
        <w:rPr>
          <w:rFonts w:ascii="Verdana" w:hAnsi="Verdana"/>
          <w:color w:val="000000" w:themeColor="text1"/>
        </w:rPr>
        <w:t xml:space="preserve">Indeed, </w:t>
      </w:r>
      <w:r w:rsidR="3B3D8152">
        <w:rPr>
          <w:rFonts w:ascii="Verdana" w:hAnsi="Verdana"/>
          <w:color w:val="000000" w:themeColor="text1"/>
        </w:rPr>
        <w:t xml:space="preserve">the sector has now posited </w:t>
      </w:r>
      <w:r w:rsidR="1EC5B612">
        <w:rPr>
          <w:rFonts w:ascii="Verdana" w:hAnsi="Verdana"/>
          <w:color w:val="000000" w:themeColor="text1"/>
        </w:rPr>
        <w:t>equity</w:t>
      </w:r>
      <w:r w:rsidR="3B3D8152">
        <w:rPr>
          <w:rFonts w:ascii="Verdana" w:hAnsi="Verdana"/>
          <w:color w:val="000000" w:themeColor="text1"/>
        </w:rPr>
        <w:t xml:space="preserve"> (with a focus on fairness)</w:t>
      </w:r>
      <w:r w:rsidR="1EC5B612">
        <w:rPr>
          <w:rFonts w:ascii="Verdana" w:hAnsi="Verdana"/>
          <w:color w:val="000000" w:themeColor="text1"/>
        </w:rPr>
        <w:t xml:space="preserve"> as more appropriate than equality</w:t>
      </w:r>
      <w:r w:rsidR="3B3D8152">
        <w:rPr>
          <w:rFonts w:ascii="Verdana" w:hAnsi="Verdana"/>
          <w:color w:val="000000" w:themeColor="text1"/>
        </w:rPr>
        <w:t xml:space="preserve"> (with a focus on sameness)</w:t>
      </w:r>
      <w:r w:rsidR="1EC5B612">
        <w:rPr>
          <w:rFonts w:ascii="Verdana" w:hAnsi="Verdana"/>
          <w:color w:val="000000" w:themeColor="text1"/>
        </w:rPr>
        <w:t>, and so the literal mean</w:t>
      </w:r>
      <w:r w:rsidR="3B3D8152">
        <w:rPr>
          <w:rFonts w:ascii="Verdana" w:hAnsi="Verdana"/>
          <w:color w:val="000000" w:themeColor="text1"/>
        </w:rPr>
        <w:t>ing</w:t>
      </w:r>
      <w:r w:rsidR="1EC5B612">
        <w:rPr>
          <w:rFonts w:ascii="Verdana" w:hAnsi="Verdana"/>
          <w:color w:val="000000" w:themeColor="text1"/>
        </w:rPr>
        <w:t xml:space="preserve"> of EDI is changing.</w:t>
      </w:r>
      <w:r w:rsidR="005D7A98">
        <w:rPr>
          <w:rStyle w:val="FootnoteReference"/>
          <w:rFonts w:ascii="Verdana" w:hAnsi="Verdana"/>
          <w:color w:val="000000" w:themeColor="text1"/>
        </w:rPr>
        <w:footnoteReference w:id="16"/>
      </w:r>
      <w:r w:rsidR="6C7171B1">
        <w:rPr>
          <w:rFonts w:ascii="Verdana" w:hAnsi="Verdana"/>
          <w:color w:val="FF0000"/>
        </w:rPr>
        <w:t xml:space="preserve"> </w:t>
      </w:r>
      <w:r w:rsidR="6633EF5D" w:rsidRPr="001927CF">
        <w:rPr>
          <w:rFonts w:ascii="Verdana" w:hAnsi="Verdana"/>
          <w:color w:val="000000" w:themeColor="text1"/>
        </w:rPr>
        <w:t>Participants</w:t>
      </w:r>
      <w:r w:rsidR="00F9213E">
        <w:rPr>
          <w:rFonts w:ascii="Verdana" w:hAnsi="Verdana"/>
          <w:color w:val="000000" w:themeColor="text1"/>
        </w:rPr>
        <w:t xml:space="preserve"> in our focus groups</w:t>
      </w:r>
      <w:r w:rsidR="6633EF5D" w:rsidRPr="001927CF">
        <w:rPr>
          <w:rFonts w:ascii="Verdana" w:hAnsi="Verdana"/>
          <w:color w:val="000000" w:themeColor="text1"/>
        </w:rPr>
        <w:t xml:space="preserve"> </w:t>
      </w:r>
      <w:r w:rsidR="6FCFBBF8">
        <w:rPr>
          <w:rFonts w:ascii="Verdana" w:hAnsi="Verdana"/>
          <w:color w:val="000000" w:themeColor="text1"/>
        </w:rPr>
        <w:t>acknowledged that EDI is a somewhat generic phrase that has been used to encompass a wide variety of different issues and underpin a range of varied policies and strategies. T</w:t>
      </w:r>
      <w:r w:rsidR="3B3D8152">
        <w:rPr>
          <w:rFonts w:ascii="Verdana" w:hAnsi="Verdana"/>
          <w:color w:val="000000" w:themeColor="text1"/>
        </w:rPr>
        <w:t>hey</w:t>
      </w:r>
      <w:r w:rsidR="6FCFBBF8">
        <w:rPr>
          <w:rFonts w:ascii="Verdana" w:hAnsi="Verdana"/>
          <w:color w:val="000000" w:themeColor="text1"/>
        </w:rPr>
        <w:t xml:space="preserve"> </w:t>
      </w:r>
      <w:r w:rsidR="000E43D9">
        <w:rPr>
          <w:rFonts w:ascii="Verdana" w:hAnsi="Verdana"/>
          <w:color w:val="000000" w:themeColor="text1"/>
        </w:rPr>
        <w:t xml:space="preserve">therefore </w:t>
      </w:r>
      <w:r w:rsidR="6633EF5D" w:rsidRPr="001927CF">
        <w:rPr>
          <w:rFonts w:ascii="Verdana" w:hAnsi="Verdana"/>
          <w:color w:val="000000" w:themeColor="text1"/>
        </w:rPr>
        <w:t>discussed EDI in relation to race and ethnicity, gender and sexuality, disability and health, socio-economic background and age. Inevitably</w:t>
      </w:r>
      <w:r w:rsidR="3B3D8152">
        <w:rPr>
          <w:rFonts w:ascii="Verdana" w:hAnsi="Verdana"/>
          <w:color w:val="000000" w:themeColor="text1"/>
        </w:rPr>
        <w:t>,</w:t>
      </w:r>
      <w:r w:rsidR="6633EF5D" w:rsidRPr="001927CF">
        <w:rPr>
          <w:rFonts w:ascii="Verdana" w:hAnsi="Verdana"/>
          <w:color w:val="000000" w:themeColor="text1"/>
        </w:rPr>
        <w:t xml:space="preserve"> there was difference in the extent to which these had been prioritised </w:t>
      </w:r>
      <w:r w:rsidR="35BF549A">
        <w:rPr>
          <w:rFonts w:ascii="Verdana" w:hAnsi="Verdana"/>
          <w:color w:val="000000" w:themeColor="text1"/>
        </w:rPr>
        <w:t>at</w:t>
      </w:r>
      <w:r w:rsidR="6633EF5D" w:rsidRPr="001927CF">
        <w:rPr>
          <w:rFonts w:ascii="Verdana" w:hAnsi="Verdana"/>
          <w:color w:val="000000" w:themeColor="text1"/>
        </w:rPr>
        <w:t xml:space="preserve"> different institutions/departments. </w:t>
      </w:r>
      <w:r w:rsidR="101A2A8F">
        <w:rPr>
          <w:rFonts w:ascii="Verdana" w:hAnsi="Verdana"/>
          <w:color w:val="000000" w:themeColor="text1"/>
        </w:rPr>
        <w:t xml:space="preserve">Many </w:t>
      </w:r>
      <w:r w:rsidR="35BF549A">
        <w:rPr>
          <w:rFonts w:ascii="Verdana" w:hAnsi="Verdana"/>
          <w:color w:val="000000" w:themeColor="text1"/>
        </w:rPr>
        <w:t>felt</w:t>
      </w:r>
      <w:r w:rsidR="101A2A8F">
        <w:rPr>
          <w:rFonts w:ascii="Verdana" w:hAnsi="Verdana"/>
          <w:color w:val="000000" w:themeColor="text1"/>
        </w:rPr>
        <w:t xml:space="preserve"> that disability did</w:t>
      </w:r>
      <w:r w:rsidR="008B353A">
        <w:rPr>
          <w:rFonts w:ascii="Verdana" w:hAnsi="Verdana"/>
          <w:color w:val="000000" w:themeColor="text1"/>
        </w:rPr>
        <w:t xml:space="preserve"> </w:t>
      </w:r>
      <w:r w:rsidR="101A2A8F">
        <w:rPr>
          <w:rFonts w:ascii="Verdana" w:hAnsi="Verdana"/>
          <w:color w:val="000000" w:themeColor="text1"/>
        </w:rPr>
        <w:t>n</w:t>
      </w:r>
      <w:r w:rsidR="008B353A">
        <w:rPr>
          <w:rFonts w:ascii="Verdana" w:hAnsi="Verdana"/>
          <w:color w:val="000000" w:themeColor="text1"/>
        </w:rPr>
        <w:t>o</w:t>
      </w:r>
      <w:r w:rsidR="101A2A8F">
        <w:rPr>
          <w:rFonts w:ascii="Verdana" w:hAnsi="Verdana"/>
          <w:color w:val="000000" w:themeColor="text1"/>
        </w:rPr>
        <w:t xml:space="preserve">t generate as much attention or commitment as other EDI issues. Some </w:t>
      </w:r>
      <w:r w:rsidR="4296ECDE">
        <w:rPr>
          <w:rFonts w:ascii="Verdana" w:hAnsi="Verdana"/>
          <w:color w:val="000000" w:themeColor="text1"/>
        </w:rPr>
        <w:t>reflected that</w:t>
      </w:r>
      <w:r w:rsidR="101A2A8F">
        <w:rPr>
          <w:rFonts w:ascii="Verdana" w:hAnsi="Verdana"/>
          <w:color w:val="000000" w:themeColor="text1"/>
        </w:rPr>
        <w:t xml:space="preserve"> disability (both visible and invisible disabilities) had become a more ‘visible’ EDI issue due to the </w:t>
      </w:r>
      <w:r w:rsidR="3B3D8152">
        <w:rPr>
          <w:rFonts w:ascii="Verdana" w:hAnsi="Verdana"/>
          <w:color w:val="000000" w:themeColor="text1"/>
        </w:rPr>
        <w:t>p</w:t>
      </w:r>
      <w:r w:rsidR="101A2A8F">
        <w:rPr>
          <w:rFonts w:ascii="Verdana" w:hAnsi="Verdana"/>
          <w:color w:val="000000" w:themeColor="text1"/>
        </w:rPr>
        <w:t>andemic.</w:t>
      </w:r>
      <w:r w:rsidR="203CC477">
        <w:rPr>
          <w:rFonts w:ascii="Verdana" w:hAnsi="Verdana"/>
          <w:color w:val="000000" w:themeColor="text1"/>
        </w:rPr>
        <w:t xml:space="preserve"> Others felt that students as carers, </w:t>
      </w:r>
      <w:r w:rsidR="3CEAD81A">
        <w:rPr>
          <w:rFonts w:ascii="Verdana" w:hAnsi="Verdana"/>
          <w:color w:val="000000" w:themeColor="text1"/>
        </w:rPr>
        <w:t xml:space="preserve">commuter students, mature students and </w:t>
      </w:r>
      <w:r w:rsidR="3B3D8152">
        <w:rPr>
          <w:rFonts w:ascii="Verdana" w:hAnsi="Verdana"/>
          <w:color w:val="000000" w:themeColor="text1"/>
        </w:rPr>
        <w:t>those with religious obligations</w:t>
      </w:r>
      <w:r w:rsidR="3CEAD81A">
        <w:rPr>
          <w:rFonts w:ascii="Verdana" w:hAnsi="Verdana"/>
          <w:color w:val="000000" w:themeColor="text1"/>
        </w:rPr>
        <w:t xml:space="preserve"> were</w:t>
      </w:r>
      <w:r w:rsidR="3B3D8152">
        <w:rPr>
          <w:rFonts w:ascii="Verdana" w:hAnsi="Verdana"/>
          <w:color w:val="000000" w:themeColor="text1"/>
        </w:rPr>
        <w:t xml:space="preserve"> also</w:t>
      </w:r>
      <w:r w:rsidR="3CEAD81A">
        <w:rPr>
          <w:rFonts w:ascii="Verdana" w:hAnsi="Verdana"/>
          <w:color w:val="000000" w:themeColor="text1"/>
        </w:rPr>
        <w:t xml:space="preserve"> ‘hidden’ </w:t>
      </w:r>
      <w:r w:rsidR="3B3D8152">
        <w:rPr>
          <w:rFonts w:ascii="Verdana" w:hAnsi="Verdana"/>
          <w:color w:val="000000" w:themeColor="text1"/>
        </w:rPr>
        <w:t>by</w:t>
      </w:r>
      <w:r w:rsidR="3CEAD81A">
        <w:rPr>
          <w:rFonts w:ascii="Verdana" w:hAnsi="Verdana"/>
          <w:color w:val="000000" w:themeColor="text1"/>
        </w:rPr>
        <w:t xml:space="preserve"> discussions of EDI </w:t>
      </w:r>
      <w:r w:rsidR="3B3D8152">
        <w:rPr>
          <w:rFonts w:ascii="Verdana" w:hAnsi="Verdana"/>
          <w:color w:val="000000" w:themeColor="text1"/>
        </w:rPr>
        <w:t>in</w:t>
      </w:r>
      <w:r w:rsidR="3CEAD81A">
        <w:rPr>
          <w:rFonts w:ascii="Verdana" w:hAnsi="Verdana"/>
          <w:color w:val="000000" w:themeColor="text1"/>
        </w:rPr>
        <w:t xml:space="preserve"> HE. </w:t>
      </w:r>
      <w:r w:rsidR="6633EF5D" w:rsidRPr="001927CF">
        <w:rPr>
          <w:rFonts w:ascii="Verdana" w:hAnsi="Verdana"/>
          <w:color w:val="000000" w:themeColor="text1"/>
        </w:rPr>
        <w:t xml:space="preserve">There were also concerns expressed that terminology adapted in EDI policies could be problematic, not least because the labels do not always represent the diverse lived experiences and challenges </w:t>
      </w:r>
      <w:r w:rsidR="3B3D8152">
        <w:rPr>
          <w:rFonts w:ascii="Verdana" w:hAnsi="Verdana"/>
          <w:color w:val="000000" w:themeColor="text1"/>
        </w:rPr>
        <w:t xml:space="preserve">that students and staff have </w:t>
      </w:r>
      <w:r w:rsidR="6633EF5D" w:rsidRPr="001927CF">
        <w:rPr>
          <w:rFonts w:ascii="Verdana" w:hAnsi="Verdana"/>
          <w:color w:val="000000" w:themeColor="text1"/>
        </w:rPr>
        <w:t xml:space="preserve">faced. </w:t>
      </w:r>
      <w:r w:rsidR="27916DB7" w:rsidRPr="001927CF">
        <w:rPr>
          <w:rFonts w:ascii="Verdana" w:hAnsi="Verdana"/>
          <w:color w:val="000000" w:themeColor="text1"/>
        </w:rPr>
        <w:t xml:space="preserve">Moreover, participants </w:t>
      </w:r>
      <w:r w:rsidR="1A1DA7D7" w:rsidRPr="001927CF">
        <w:rPr>
          <w:rFonts w:ascii="Verdana" w:hAnsi="Verdana"/>
          <w:color w:val="000000" w:themeColor="text1"/>
        </w:rPr>
        <w:t>highlighted the importance of intersectionality</w:t>
      </w:r>
      <w:r w:rsidR="68EB7AD9">
        <w:rPr>
          <w:rFonts w:ascii="Verdana" w:hAnsi="Verdana"/>
          <w:color w:val="000000" w:themeColor="text1"/>
        </w:rPr>
        <w:t xml:space="preserve">, </w:t>
      </w:r>
      <w:r w:rsidR="3B3D8152">
        <w:rPr>
          <w:rFonts w:ascii="Verdana" w:hAnsi="Verdana"/>
          <w:color w:val="000000" w:themeColor="text1"/>
        </w:rPr>
        <w:t xml:space="preserve">because many staff and </w:t>
      </w:r>
      <w:r w:rsidR="68EB7AD9">
        <w:rPr>
          <w:rFonts w:ascii="Verdana" w:hAnsi="Verdana"/>
          <w:color w:val="000000" w:themeColor="text1"/>
        </w:rPr>
        <w:t>students may ‘not simply fit into existing EDI boxes’</w:t>
      </w:r>
      <w:r w:rsidR="1A1DA7D7" w:rsidRPr="001927CF">
        <w:rPr>
          <w:rFonts w:ascii="Verdana" w:hAnsi="Verdana"/>
          <w:color w:val="000000" w:themeColor="text1"/>
        </w:rPr>
        <w:t xml:space="preserve">. </w:t>
      </w:r>
    </w:p>
    <w:p w14:paraId="35443EBF" w14:textId="77777777" w:rsidR="00DC75EF" w:rsidRDefault="00DC75EF" w:rsidP="00B1553C">
      <w:pPr>
        <w:spacing w:line="276" w:lineRule="auto"/>
        <w:rPr>
          <w:rFonts w:ascii="Verdana" w:hAnsi="Verdana"/>
          <w:color w:val="000000" w:themeColor="text1"/>
        </w:rPr>
      </w:pPr>
    </w:p>
    <w:p w14:paraId="4E296B69" w14:textId="230320B9" w:rsidR="00BA3173" w:rsidRDefault="3B3D8152" w:rsidP="00B1553C">
      <w:pPr>
        <w:spacing w:line="276" w:lineRule="auto"/>
        <w:rPr>
          <w:rFonts w:ascii="Verdana" w:hAnsi="Verdana"/>
          <w:color w:val="000000" w:themeColor="text1"/>
        </w:rPr>
      </w:pPr>
      <w:r>
        <w:rPr>
          <w:rFonts w:ascii="Verdana" w:hAnsi="Verdana"/>
          <w:color w:val="000000" w:themeColor="text1"/>
        </w:rPr>
        <w:t>Participants sought</w:t>
      </w:r>
      <w:r w:rsidR="66172C0E" w:rsidRPr="001927CF">
        <w:rPr>
          <w:rFonts w:ascii="Verdana" w:hAnsi="Verdana"/>
          <w:color w:val="000000" w:themeColor="text1"/>
        </w:rPr>
        <w:t xml:space="preserve"> a holistic vision of EDI </w:t>
      </w:r>
      <w:r>
        <w:rPr>
          <w:rFonts w:ascii="Verdana" w:hAnsi="Verdana"/>
          <w:color w:val="000000" w:themeColor="text1"/>
        </w:rPr>
        <w:t>that</w:t>
      </w:r>
      <w:r w:rsidR="66172C0E" w:rsidRPr="001927CF">
        <w:rPr>
          <w:rFonts w:ascii="Verdana" w:hAnsi="Verdana"/>
          <w:color w:val="000000" w:themeColor="text1"/>
        </w:rPr>
        <w:t xml:space="preserve"> does</w:t>
      </w:r>
      <w:r>
        <w:rPr>
          <w:rFonts w:ascii="Verdana" w:hAnsi="Verdana"/>
          <w:color w:val="000000" w:themeColor="text1"/>
        </w:rPr>
        <w:t xml:space="preserve"> </w:t>
      </w:r>
      <w:r w:rsidR="66172C0E" w:rsidRPr="001927CF">
        <w:rPr>
          <w:rFonts w:ascii="Verdana" w:hAnsi="Verdana"/>
          <w:color w:val="000000" w:themeColor="text1"/>
        </w:rPr>
        <w:t>n</w:t>
      </w:r>
      <w:r>
        <w:rPr>
          <w:rFonts w:ascii="Verdana" w:hAnsi="Verdana"/>
          <w:color w:val="000000" w:themeColor="text1"/>
        </w:rPr>
        <w:t>o</w:t>
      </w:r>
      <w:r w:rsidR="66172C0E" w:rsidRPr="001927CF">
        <w:rPr>
          <w:rFonts w:ascii="Verdana" w:hAnsi="Verdana"/>
          <w:color w:val="000000" w:themeColor="text1"/>
        </w:rPr>
        <w:t xml:space="preserve">t reduce </w:t>
      </w:r>
      <w:r>
        <w:rPr>
          <w:rFonts w:ascii="Verdana" w:hAnsi="Verdana"/>
          <w:color w:val="000000" w:themeColor="text1"/>
        </w:rPr>
        <w:t>associated</w:t>
      </w:r>
      <w:r w:rsidR="66172C0E" w:rsidRPr="001927CF">
        <w:rPr>
          <w:rFonts w:ascii="Verdana" w:hAnsi="Verdana"/>
          <w:color w:val="000000" w:themeColor="text1"/>
        </w:rPr>
        <w:t xml:space="preserve"> work </w:t>
      </w:r>
      <w:r w:rsidR="0BA1EC39" w:rsidRPr="001927CF">
        <w:rPr>
          <w:rFonts w:ascii="Verdana" w:hAnsi="Verdana"/>
          <w:color w:val="000000" w:themeColor="text1"/>
        </w:rPr>
        <w:t>to ‘tick</w:t>
      </w:r>
      <w:r>
        <w:rPr>
          <w:rFonts w:ascii="Verdana" w:hAnsi="Verdana"/>
          <w:color w:val="000000" w:themeColor="text1"/>
        </w:rPr>
        <w:t>-</w:t>
      </w:r>
      <w:r w:rsidR="0BA1EC39" w:rsidRPr="001927CF">
        <w:rPr>
          <w:rFonts w:ascii="Verdana" w:hAnsi="Verdana"/>
          <w:color w:val="000000" w:themeColor="text1"/>
        </w:rPr>
        <w:t xml:space="preserve">box exercises’ or ‘buzz words’. </w:t>
      </w:r>
      <w:r w:rsidR="00992DAD">
        <w:rPr>
          <w:rFonts w:ascii="Verdana" w:hAnsi="Verdana"/>
          <w:color w:val="000000" w:themeColor="text1"/>
        </w:rPr>
        <w:t xml:space="preserve">Lauren </w:t>
      </w:r>
      <w:proofErr w:type="spellStart"/>
      <w:r w:rsidR="365F42D3" w:rsidRPr="001927CF">
        <w:rPr>
          <w:rFonts w:ascii="Verdana" w:hAnsi="Verdana"/>
          <w:color w:val="000000" w:themeColor="text1"/>
        </w:rPr>
        <w:t>Stentiford</w:t>
      </w:r>
      <w:proofErr w:type="spellEnd"/>
      <w:r w:rsidR="365F42D3" w:rsidRPr="001927CF">
        <w:rPr>
          <w:rFonts w:ascii="Verdana" w:hAnsi="Verdana"/>
          <w:color w:val="000000" w:themeColor="text1"/>
        </w:rPr>
        <w:t xml:space="preserve"> and </w:t>
      </w:r>
      <w:r w:rsidR="00992DAD">
        <w:rPr>
          <w:rFonts w:ascii="Verdana" w:hAnsi="Verdana"/>
          <w:color w:val="000000" w:themeColor="text1"/>
        </w:rPr>
        <w:t xml:space="preserve">George </w:t>
      </w:r>
      <w:proofErr w:type="spellStart"/>
      <w:r w:rsidR="365F42D3" w:rsidRPr="001927CF">
        <w:rPr>
          <w:rFonts w:ascii="Verdana" w:hAnsi="Verdana"/>
          <w:color w:val="000000" w:themeColor="text1"/>
        </w:rPr>
        <w:t>Koutsouris</w:t>
      </w:r>
      <w:proofErr w:type="spellEnd"/>
      <w:r w:rsidR="365F42D3" w:rsidRPr="001927CF">
        <w:rPr>
          <w:rFonts w:ascii="Verdana" w:hAnsi="Verdana"/>
          <w:color w:val="000000" w:themeColor="text1"/>
        </w:rPr>
        <w:t xml:space="preserve"> </w:t>
      </w:r>
      <w:r>
        <w:rPr>
          <w:rFonts w:ascii="Verdana" w:hAnsi="Verdana"/>
          <w:color w:val="000000" w:themeColor="text1"/>
        </w:rPr>
        <w:t>have observed</w:t>
      </w:r>
      <w:r w:rsidR="365F42D3" w:rsidRPr="001927CF">
        <w:rPr>
          <w:rFonts w:ascii="Verdana" w:hAnsi="Verdana"/>
          <w:color w:val="000000" w:themeColor="text1"/>
        </w:rPr>
        <w:t xml:space="preserve"> that ‘Inclusive pedagogies remain something of a black box; a term used to refer to a potentially disparate array of practices, and with inclusion itself remaining a hazy and under-examined concept’, warning that it has the potential to simply become embedded in </w:t>
      </w:r>
      <w:r>
        <w:rPr>
          <w:rFonts w:ascii="Verdana" w:hAnsi="Verdana"/>
          <w:color w:val="000000" w:themeColor="text1"/>
        </w:rPr>
        <w:t xml:space="preserve">a </w:t>
      </w:r>
      <w:r w:rsidR="365F42D3" w:rsidRPr="001927CF">
        <w:rPr>
          <w:rFonts w:ascii="Verdana" w:hAnsi="Verdana"/>
          <w:color w:val="000000" w:themeColor="text1"/>
        </w:rPr>
        <w:t>‘performativity culture’</w:t>
      </w:r>
      <w:r>
        <w:rPr>
          <w:rFonts w:ascii="Verdana" w:hAnsi="Verdana"/>
          <w:color w:val="000000" w:themeColor="text1"/>
        </w:rPr>
        <w:t xml:space="preserve"> that represents but does not always enact change</w:t>
      </w:r>
      <w:r w:rsidR="365F42D3" w:rsidRPr="001927CF">
        <w:rPr>
          <w:rFonts w:ascii="Verdana" w:hAnsi="Verdana"/>
          <w:color w:val="000000" w:themeColor="text1"/>
        </w:rPr>
        <w:t>.</w:t>
      </w:r>
      <w:r w:rsidR="00FB1719" w:rsidRPr="001927CF">
        <w:rPr>
          <w:rStyle w:val="FootnoteReference"/>
          <w:rFonts w:ascii="Verdana" w:hAnsi="Verdana"/>
          <w:color w:val="000000" w:themeColor="text1"/>
        </w:rPr>
        <w:footnoteReference w:id="17"/>
      </w:r>
      <w:r w:rsidR="365F42D3" w:rsidRPr="001927CF">
        <w:rPr>
          <w:rFonts w:ascii="Verdana" w:hAnsi="Verdana"/>
          <w:color w:val="000000" w:themeColor="text1"/>
        </w:rPr>
        <w:t xml:space="preserve"> </w:t>
      </w:r>
      <w:r w:rsidR="27916DB7" w:rsidRPr="001927CF">
        <w:rPr>
          <w:rFonts w:ascii="Verdana" w:hAnsi="Verdana"/>
          <w:color w:val="000000" w:themeColor="text1"/>
        </w:rPr>
        <w:t xml:space="preserve">The different ways in which individuals, departments or institutions understand and prioritise EDI </w:t>
      </w:r>
      <w:r>
        <w:rPr>
          <w:rFonts w:ascii="Verdana" w:hAnsi="Verdana"/>
          <w:color w:val="000000" w:themeColor="text1"/>
        </w:rPr>
        <w:t xml:space="preserve">show that </w:t>
      </w:r>
      <w:r w:rsidR="27916DB7" w:rsidRPr="001927CF">
        <w:rPr>
          <w:rFonts w:ascii="Verdana" w:hAnsi="Verdana"/>
          <w:color w:val="000000" w:themeColor="text1"/>
        </w:rPr>
        <w:t xml:space="preserve">future work and </w:t>
      </w:r>
      <w:r w:rsidR="27916DB7" w:rsidRPr="001927CF">
        <w:rPr>
          <w:rFonts w:ascii="Verdana" w:hAnsi="Verdana"/>
          <w:color w:val="000000" w:themeColor="text1"/>
        </w:rPr>
        <w:lastRenderedPageBreak/>
        <w:t xml:space="preserve">recommendations </w:t>
      </w:r>
      <w:r>
        <w:rPr>
          <w:rFonts w:ascii="Verdana" w:hAnsi="Verdana"/>
          <w:color w:val="000000" w:themeColor="text1"/>
        </w:rPr>
        <w:t>must</w:t>
      </w:r>
      <w:r w:rsidR="27916DB7" w:rsidRPr="001927CF">
        <w:rPr>
          <w:rFonts w:ascii="Verdana" w:hAnsi="Verdana"/>
          <w:color w:val="000000" w:themeColor="text1"/>
        </w:rPr>
        <w:t xml:space="preserve"> address this. EDI is not one single entity</w:t>
      </w:r>
      <w:r w:rsidR="13ADB88A" w:rsidRPr="001927CF">
        <w:rPr>
          <w:rFonts w:ascii="Verdana" w:hAnsi="Verdana"/>
          <w:color w:val="000000" w:themeColor="text1"/>
        </w:rPr>
        <w:t xml:space="preserve"> and participants urged greater connectivity between institutional strategic priorities and the needs identified at disciplinary or departmental level</w:t>
      </w:r>
      <w:r w:rsidR="27916DB7" w:rsidRPr="001927CF">
        <w:rPr>
          <w:rFonts w:ascii="Verdana" w:hAnsi="Verdana"/>
          <w:color w:val="000000" w:themeColor="text1"/>
        </w:rPr>
        <w:t xml:space="preserve">. </w:t>
      </w:r>
      <w:r w:rsidR="68A24AA9">
        <w:rPr>
          <w:rFonts w:ascii="Verdana" w:hAnsi="Verdana"/>
          <w:color w:val="000000" w:themeColor="text1"/>
        </w:rPr>
        <w:t>Participants</w:t>
      </w:r>
      <w:r w:rsidR="5FAEF627" w:rsidRPr="001927CF">
        <w:rPr>
          <w:rFonts w:ascii="Verdana" w:hAnsi="Verdana"/>
          <w:color w:val="000000" w:themeColor="text1"/>
        </w:rPr>
        <w:t xml:space="preserve"> also felt that </w:t>
      </w:r>
      <w:r w:rsidR="5FAEF627" w:rsidRPr="00BB6E4E">
        <w:rPr>
          <w:rFonts w:ascii="Verdana" w:hAnsi="Verdana"/>
          <w:color w:val="000000" w:themeColor="text1"/>
        </w:rPr>
        <w:t>history as a discipline was well placed to engage with varied EDI issues and create inclusive curricula and pedagogies</w:t>
      </w:r>
      <w:r>
        <w:rPr>
          <w:rFonts w:ascii="Verdana" w:hAnsi="Verdana"/>
          <w:color w:val="000000" w:themeColor="text1"/>
        </w:rPr>
        <w:t>,</w:t>
      </w:r>
      <w:r w:rsidR="5FAEF627" w:rsidRPr="00BB6E4E">
        <w:rPr>
          <w:rFonts w:ascii="Verdana" w:hAnsi="Verdana"/>
          <w:color w:val="000000" w:themeColor="text1"/>
        </w:rPr>
        <w:t xml:space="preserve"> although </w:t>
      </w:r>
      <w:r w:rsidR="215E1992">
        <w:rPr>
          <w:rFonts w:ascii="Verdana" w:hAnsi="Verdana"/>
          <w:color w:val="000000" w:themeColor="text1"/>
        </w:rPr>
        <w:t xml:space="preserve">many agreed there was still </w:t>
      </w:r>
      <w:r w:rsidR="5FAEF627" w:rsidRPr="00BB6E4E">
        <w:rPr>
          <w:rFonts w:ascii="Verdana" w:hAnsi="Verdana"/>
          <w:color w:val="000000" w:themeColor="text1"/>
        </w:rPr>
        <w:t xml:space="preserve">scope to </w:t>
      </w:r>
      <w:r w:rsidR="215E1992">
        <w:rPr>
          <w:rFonts w:ascii="Verdana" w:hAnsi="Verdana"/>
          <w:color w:val="000000" w:themeColor="text1"/>
        </w:rPr>
        <w:t>focus more on what was</w:t>
      </w:r>
      <w:r w:rsidR="5FAEF627" w:rsidRPr="00BB6E4E">
        <w:rPr>
          <w:rFonts w:ascii="Verdana" w:hAnsi="Verdana"/>
          <w:color w:val="000000" w:themeColor="text1"/>
        </w:rPr>
        <w:t xml:space="preserve"> history-specific about this work</w:t>
      </w:r>
      <w:r w:rsidR="215E1992">
        <w:rPr>
          <w:rFonts w:ascii="Verdana" w:hAnsi="Verdana"/>
          <w:color w:val="000000" w:themeColor="text1"/>
        </w:rPr>
        <w:t>.</w:t>
      </w:r>
      <w:r w:rsidR="5FAEF627" w:rsidRPr="00BB6E4E">
        <w:rPr>
          <w:rFonts w:ascii="Verdana" w:hAnsi="Verdana"/>
          <w:color w:val="000000" w:themeColor="text1"/>
        </w:rPr>
        <w:t xml:space="preserve"> </w:t>
      </w:r>
    </w:p>
    <w:p w14:paraId="6B306AC2" w14:textId="77777777" w:rsidR="00DC75EF" w:rsidRDefault="00DC75EF" w:rsidP="00B1553C">
      <w:pPr>
        <w:spacing w:line="276" w:lineRule="auto"/>
        <w:rPr>
          <w:rFonts w:ascii="Verdana" w:hAnsi="Verdana"/>
          <w:color w:val="000000" w:themeColor="text1"/>
        </w:rPr>
      </w:pPr>
    </w:p>
    <w:p w14:paraId="23E9866B" w14:textId="37608DF1" w:rsidR="00190CC2" w:rsidRPr="00B1553C" w:rsidRDefault="00632BC9" w:rsidP="00061DE5">
      <w:pPr>
        <w:pStyle w:val="Heading1"/>
      </w:pPr>
      <w:r w:rsidRPr="000E43D9">
        <w:t>Problematic data</w:t>
      </w:r>
    </w:p>
    <w:p w14:paraId="6027BF93" w14:textId="13A4E56F" w:rsidR="00632BC9" w:rsidRDefault="00190CC2" w:rsidP="00B1553C">
      <w:pPr>
        <w:spacing w:line="276" w:lineRule="auto"/>
        <w:rPr>
          <w:rFonts w:ascii="Verdana" w:hAnsi="Verdana"/>
          <w:color w:val="000000" w:themeColor="text1"/>
        </w:rPr>
      </w:pPr>
      <w:r w:rsidRPr="001927CF">
        <w:rPr>
          <w:rFonts w:ascii="Verdana" w:hAnsi="Verdana"/>
          <w:color w:val="000000" w:themeColor="text1"/>
        </w:rPr>
        <w:t xml:space="preserve">All </w:t>
      </w:r>
      <w:r w:rsidR="00632BC9" w:rsidRPr="001927CF">
        <w:rPr>
          <w:rFonts w:ascii="Verdana" w:hAnsi="Verdana"/>
          <w:color w:val="000000" w:themeColor="text1"/>
        </w:rPr>
        <w:t>participants agreed there were issues around the nature of statistical evidence</w:t>
      </w:r>
      <w:r w:rsidRPr="001927CF">
        <w:rPr>
          <w:rFonts w:ascii="Verdana" w:hAnsi="Verdana"/>
          <w:color w:val="000000" w:themeColor="text1"/>
        </w:rPr>
        <w:t xml:space="preserve"> </w:t>
      </w:r>
      <w:r w:rsidR="00DC4553" w:rsidRPr="001927CF">
        <w:rPr>
          <w:rFonts w:ascii="Verdana" w:hAnsi="Verdana"/>
          <w:color w:val="000000" w:themeColor="text1"/>
        </w:rPr>
        <w:t>for</w:t>
      </w:r>
      <w:r w:rsidRPr="001927CF">
        <w:rPr>
          <w:rFonts w:ascii="Verdana" w:hAnsi="Verdana"/>
          <w:color w:val="000000" w:themeColor="text1"/>
        </w:rPr>
        <w:t xml:space="preserve"> EDI</w:t>
      </w:r>
      <w:r w:rsidR="006D2DF9">
        <w:rPr>
          <w:rFonts w:ascii="Verdana" w:hAnsi="Verdana"/>
          <w:color w:val="000000" w:themeColor="text1"/>
        </w:rPr>
        <w:t xml:space="preserve"> that </w:t>
      </w:r>
      <w:r w:rsidR="00632BC9" w:rsidRPr="001927CF">
        <w:rPr>
          <w:rFonts w:ascii="Verdana" w:hAnsi="Verdana"/>
          <w:color w:val="000000" w:themeColor="text1"/>
        </w:rPr>
        <w:t>relat</w:t>
      </w:r>
      <w:r w:rsidR="006D2DF9">
        <w:rPr>
          <w:rFonts w:ascii="Verdana" w:hAnsi="Verdana"/>
          <w:color w:val="000000" w:themeColor="text1"/>
        </w:rPr>
        <w:t>e</w:t>
      </w:r>
      <w:r w:rsidR="00632BC9" w:rsidRPr="001927CF">
        <w:rPr>
          <w:rFonts w:ascii="Verdana" w:hAnsi="Verdana"/>
          <w:color w:val="000000" w:themeColor="text1"/>
        </w:rPr>
        <w:t xml:space="preserve"> to ‘awarding gaps’</w:t>
      </w:r>
      <w:r w:rsidR="006D2DF9">
        <w:rPr>
          <w:rFonts w:ascii="Verdana" w:hAnsi="Verdana"/>
          <w:color w:val="000000" w:themeColor="text1"/>
        </w:rPr>
        <w:t>, since this</w:t>
      </w:r>
      <w:r w:rsidRPr="001927CF">
        <w:rPr>
          <w:rFonts w:ascii="Verdana" w:hAnsi="Verdana"/>
          <w:color w:val="000000" w:themeColor="text1"/>
        </w:rPr>
        <w:t xml:space="preserve"> </w:t>
      </w:r>
      <w:r w:rsidR="006D2DF9">
        <w:rPr>
          <w:rFonts w:ascii="Verdana" w:hAnsi="Verdana"/>
          <w:color w:val="000000" w:themeColor="text1"/>
        </w:rPr>
        <w:t>w</w:t>
      </w:r>
      <w:r w:rsidRPr="001927CF">
        <w:rPr>
          <w:rFonts w:ascii="Verdana" w:hAnsi="Verdana"/>
          <w:color w:val="000000" w:themeColor="text1"/>
        </w:rPr>
        <w:t xml:space="preserve">as a major </w:t>
      </w:r>
      <w:r w:rsidR="006D2DF9">
        <w:rPr>
          <w:rFonts w:ascii="Verdana" w:hAnsi="Verdana"/>
          <w:color w:val="000000" w:themeColor="text1"/>
        </w:rPr>
        <w:t xml:space="preserve">strategic </w:t>
      </w:r>
      <w:r w:rsidRPr="001927CF">
        <w:rPr>
          <w:rFonts w:ascii="Verdana" w:hAnsi="Verdana"/>
          <w:color w:val="000000" w:themeColor="text1"/>
        </w:rPr>
        <w:t xml:space="preserve">priority </w:t>
      </w:r>
      <w:r w:rsidR="006D2DF9">
        <w:rPr>
          <w:rFonts w:ascii="Verdana" w:hAnsi="Verdana"/>
          <w:color w:val="000000" w:themeColor="text1"/>
        </w:rPr>
        <w:t>among</w:t>
      </w:r>
      <w:r w:rsidR="00186B75">
        <w:rPr>
          <w:rFonts w:ascii="Verdana" w:hAnsi="Verdana"/>
          <w:color w:val="000000" w:themeColor="text1"/>
        </w:rPr>
        <w:t xml:space="preserve"> </w:t>
      </w:r>
      <w:r w:rsidRPr="001927CF">
        <w:rPr>
          <w:rFonts w:ascii="Verdana" w:hAnsi="Verdana"/>
          <w:color w:val="000000" w:themeColor="text1"/>
        </w:rPr>
        <w:t>institutions. A</w:t>
      </w:r>
      <w:r w:rsidR="006D2DF9">
        <w:rPr>
          <w:rFonts w:ascii="Verdana" w:hAnsi="Verdana"/>
          <w:color w:val="000000" w:themeColor="text1"/>
        </w:rPr>
        <w:t xml:space="preserve">lthough </w:t>
      </w:r>
      <w:r w:rsidRPr="001927CF">
        <w:rPr>
          <w:rFonts w:ascii="Verdana" w:hAnsi="Verdana"/>
          <w:color w:val="000000" w:themeColor="text1"/>
        </w:rPr>
        <w:t>intersectionality is widely recognised by focus group participants</w:t>
      </w:r>
      <w:r w:rsidR="006923CC" w:rsidRPr="001927CF">
        <w:rPr>
          <w:rFonts w:ascii="Verdana" w:hAnsi="Verdana"/>
          <w:color w:val="000000" w:themeColor="text1"/>
        </w:rPr>
        <w:t>,</w:t>
      </w:r>
      <w:r w:rsidR="0008615F" w:rsidRPr="001927CF">
        <w:rPr>
          <w:rFonts w:ascii="Verdana" w:hAnsi="Verdana"/>
          <w:color w:val="000000" w:themeColor="text1"/>
        </w:rPr>
        <w:t xml:space="preserve"> data is often crude</w:t>
      </w:r>
      <w:r w:rsidR="00424810">
        <w:rPr>
          <w:rFonts w:ascii="Verdana" w:hAnsi="Verdana"/>
          <w:color w:val="000000" w:themeColor="text1"/>
        </w:rPr>
        <w:t xml:space="preserve"> and </w:t>
      </w:r>
      <w:r w:rsidR="0008615F" w:rsidRPr="001927CF">
        <w:rPr>
          <w:rFonts w:ascii="Verdana" w:hAnsi="Verdana"/>
          <w:color w:val="000000" w:themeColor="text1"/>
        </w:rPr>
        <w:t>can be based on very few students (linked to recruitment issues)</w:t>
      </w:r>
      <w:r w:rsidR="006D2DF9">
        <w:rPr>
          <w:rFonts w:ascii="Verdana" w:hAnsi="Verdana"/>
          <w:color w:val="000000" w:themeColor="text1"/>
        </w:rPr>
        <w:t>. This means that the available information</w:t>
      </w:r>
      <w:r w:rsidR="00014CAA" w:rsidRPr="001927CF">
        <w:rPr>
          <w:rFonts w:ascii="Verdana" w:hAnsi="Verdana"/>
          <w:color w:val="000000" w:themeColor="text1"/>
        </w:rPr>
        <w:t xml:space="preserve"> reflects </w:t>
      </w:r>
      <w:r w:rsidR="006D2DF9">
        <w:rPr>
          <w:rFonts w:ascii="Verdana" w:hAnsi="Verdana"/>
          <w:color w:val="000000" w:themeColor="text1"/>
        </w:rPr>
        <w:t>unique</w:t>
      </w:r>
      <w:r w:rsidR="00014CAA" w:rsidRPr="001927CF">
        <w:rPr>
          <w:rFonts w:ascii="Verdana" w:hAnsi="Verdana"/>
          <w:color w:val="000000" w:themeColor="text1"/>
        </w:rPr>
        <w:t xml:space="preserve"> experiences </w:t>
      </w:r>
      <w:r w:rsidR="0008615F" w:rsidRPr="001927CF">
        <w:rPr>
          <w:rFonts w:ascii="Verdana" w:hAnsi="Verdana"/>
          <w:color w:val="000000" w:themeColor="text1"/>
        </w:rPr>
        <w:t xml:space="preserve">and </w:t>
      </w:r>
      <w:r w:rsidR="0008615F" w:rsidRPr="00341C78">
        <w:rPr>
          <w:rFonts w:ascii="Verdana" w:hAnsi="Verdana"/>
          <w:color w:val="000000" w:themeColor="text1"/>
        </w:rPr>
        <w:t xml:space="preserve">lacks intersectionality. </w:t>
      </w:r>
      <w:r w:rsidR="00014CAA" w:rsidRPr="001927CF">
        <w:rPr>
          <w:rFonts w:ascii="Verdana" w:hAnsi="Verdana"/>
          <w:color w:val="000000" w:themeColor="text1"/>
        </w:rPr>
        <w:t xml:space="preserve">Thus, </w:t>
      </w:r>
      <w:r w:rsidR="006D2DF9">
        <w:rPr>
          <w:rFonts w:ascii="Verdana" w:hAnsi="Verdana"/>
          <w:color w:val="000000" w:themeColor="text1"/>
        </w:rPr>
        <w:t>when we focus</w:t>
      </w:r>
      <w:r w:rsidR="00014CAA" w:rsidRPr="001927CF">
        <w:rPr>
          <w:rFonts w:ascii="Verdana" w:hAnsi="Verdana"/>
          <w:color w:val="000000" w:themeColor="text1"/>
        </w:rPr>
        <w:t xml:space="preserve"> purely on the </w:t>
      </w:r>
      <w:r w:rsidR="006D2DF9">
        <w:rPr>
          <w:rFonts w:ascii="Verdana" w:hAnsi="Verdana"/>
          <w:color w:val="000000" w:themeColor="text1"/>
        </w:rPr>
        <w:t xml:space="preserve">available </w:t>
      </w:r>
      <w:r w:rsidR="00014CAA" w:rsidRPr="001927CF">
        <w:rPr>
          <w:rFonts w:ascii="Verdana" w:hAnsi="Verdana"/>
          <w:color w:val="000000" w:themeColor="text1"/>
        </w:rPr>
        <w:t xml:space="preserve">data, </w:t>
      </w:r>
      <w:r w:rsidR="006D2DF9">
        <w:rPr>
          <w:rFonts w:ascii="Verdana" w:hAnsi="Verdana"/>
          <w:color w:val="000000" w:themeColor="text1"/>
        </w:rPr>
        <w:t>we find that it can</w:t>
      </w:r>
      <w:r w:rsidR="00014CAA" w:rsidRPr="001927CF">
        <w:rPr>
          <w:rFonts w:ascii="Verdana" w:hAnsi="Verdana"/>
          <w:color w:val="000000" w:themeColor="text1"/>
        </w:rPr>
        <w:t xml:space="preserve"> be very difficult to support students or make meaningful changes</w:t>
      </w:r>
      <w:r w:rsidR="006D2DF9">
        <w:rPr>
          <w:rFonts w:ascii="Verdana" w:hAnsi="Verdana"/>
          <w:color w:val="000000" w:themeColor="text1"/>
        </w:rPr>
        <w:t xml:space="preserve">. Nevertheless, </w:t>
      </w:r>
      <w:r w:rsidR="00014CAA" w:rsidRPr="001927CF">
        <w:rPr>
          <w:rFonts w:ascii="Verdana" w:hAnsi="Verdana"/>
          <w:color w:val="000000" w:themeColor="text1"/>
        </w:rPr>
        <w:t xml:space="preserve">strategic agendas often </w:t>
      </w:r>
      <w:r w:rsidR="006D2DF9">
        <w:rPr>
          <w:rFonts w:ascii="Verdana" w:hAnsi="Verdana"/>
          <w:color w:val="000000" w:themeColor="text1"/>
        </w:rPr>
        <w:t>cite such</w:t>
      </w:r>
      <w:r w:rsidR="00014CAA" w:rsidRPr="001927CF">
        <w:rPr>
          <w:rFonts w:ascii="Verdana" w:hAnsi="Verdana"/>
          <w:color w:val="000000" w:themeColor="text1"/>
        </w:rPr>
        <w:t xml:space="preserve"> data. Participants called for more robust and timely data, </w:t>
      </w:r>
      <w:r w:rsidR="006D2DF9">
        <w:rPr>
          <w:rFonts w:ascii="Verdana" w:hAnsi="Verdana"/>
          <w:color w:val="000000" w:themeColor="text1"/>
        </w:rPr>
        <w:t>including</w:t>
      </w:r>
      <w:r w:rsidR="00F65542">
        <w:rPr>
          <w:rFonts w:ascii="Verdana" w:hAnsi="Verdana"/>
          <w:color w:val="000000" w:themeColor="text1"/>
        </w:rPr>
        <w:t xml:space="preserve"> evidence of </w:t>
      </w:r>
      <w:r w:rsidR="00632BC9" w:rsidRPr="001927CF">
        <w:rPr>
          <w:rFonts w:ascii="Verdana" w:hAnsi="Verdana"/>
          <w:color w:val="000000" w:themeColor="text1"/>
        </w:rPr>
        <w:t>intersectionality</w:t>
      </w:r>
      <w:r w:rsidR="00F65542">
        <w:rPr>
          <w:rFonts w:ascii="Verdana" w:hAnsi="Verdana"/>
          <w:color w:val="000000" w:themeColor="text1"/>
        </w:rPr>
        <w:t xml:space="preserve"> between EDI indicators</w:t>
      </w:r>
      <w:r w:rsidR="006D2DF9">
        <w:rPr>
          <w:rFonts w:ascii="Verdana" w:hAnsi="Verdana"/>
          <w:color w:val="000000" w:themeColor="text1"/>
        </w:rPr>
        <w:t>,</w:t>
      </w:r>
      <w:r w:rsidR="00014CAA" w:rsidRPr="001927CF">
        <w:rPr>
          <w:rFonts w:ascii="Verdana" w:hAnsi="Verdana"/>
          <w:color w:val="000000" w:themeColor="text1"/>
        </w:rPr>
        <w:t xml:space="preserve"> </w:t>
      </w:r>
      <w:r w:rsidR="006D2DF9">
        <w:rPr>
          <w:rFonts w:ascii="Verdana" w:hAnsi="Verdana"/>
          <w:color w:val="000000" w:themeColor="text1"/>
        </w:rPr>
        <w:t>to provide</w:t>
      </w:r>
      <w:r w:rsidR="00014CAA" w:rsidRPr="001927CF">
        <w:rPr>
          <w:rFonts w:ascii="Verdana" w:hAnsi="Verdana"/>
          <w:color w:val="000000" w:themeColor="text1"/>
        </w:rPr>
        <w:t xml:space="preserve"> qualitative data about </w:t>
      </w:r>
      <w:r w:rsidR="006D2DF9">
        <w:rPr>
          <w:rFonts w:ascii="Verdana" w:hAnsi="Verdana"/>
          <w:color w:val="000000" w:themeColor="text1"/>
        </w:rPr>
        <w:t xml:space="preserve">broad </w:t>
      </w:r>
      <w:r w:rsidR="00014CAA" w:rsidRPr="001927CF">
        <w:rPr>
          <w:rFonts w:ascii="Verdana" w:hAnsi="Verdana"/>
          <w:color w:val="000000" w:themeColor="text1"/>
        </w:rPr>
        <w:t>lived experiences alongside quantitative data.</w:t>
      </w:r>
    </w:p>
    <w:p w14:paraId="5DB3C122" w14:textId="77777777" w:rsidR="003D6402" w:rsidRDefault="003D6402" w:rsidP="001927CF">
      <w:pPr>
        <w:spacing w:line="276" w:lineRule="auto"/>
        <w:rPr>
          <w:rFonts w:ascii="Verdana" w:hAnsi="Verdana"/>
          <w:color w:val="FF0000"/>
        </w:rPr>
      </w:pPr>
    </w:p>
    <w:p w14:paraId="64C73CCC" w14:textId="77276A1F" w:rsidR="00BD3EDC" w:rsidRPr="00B1553C" w:rsidRDefault="0095775F" w:rsidP="00061DE5">
      <w:pPr>
        <w:pStyle w:val="Heading1"/>
      </w:pPr>
      <w:r w:rsidRPr="00B1553C">
        <w:t xml:space="preserve">Awarding </w:t>
      </w:r>
      <w:r w:rsidR="00B1553C">
        <w:t>G</w:t>
      </w:r>
      <w:r w:rsidRPr="00B1553C">
        <w:t xml:space="preserve">aps </w:t>
      </w:r>
    </w:p>
    <w:p w14:paraId="1B64877B" w14:textId="2D838B60" w:rsidR="00E22D88" w:rsidRDefault="006D2A9D" w:rsidP="001927CF">
      <w:pPr>
        <w:spacing w:line="276" w:lineRule="auto"/>
        <w:rPr>
          <w:rFonts w:ascii="Verdana" w:hAnsi="Verdana"/>
          <w:color w:val="000000" w:themeColor="text1"/>
        </w:rPr>
      </w:pPr>
      <w:r>
        <w:rPr>
          <w:rFonts w:ascii="Verdana" w:hAnsi="Verdana"/>
          <w:color w:val="000000" w:themeColor="text1"/>
        </w:rPr>
        <w:t>A</w:t>
      </w:r>
      <w:r w:rsidR="00BD3EDC" w:rsidRPr="001927CF">
        <w:rPr>
          <w:rFonts w:ascii="Verdana" w:hAnsi="Verdana"/>
          <w:color w:val="000000" w:themeColor="text1"/>
        </w:rPr>
        <w:t>warding gaps were noted as a key priority in HEIs</w:t>
      </w:r>
      <w:r w:rsidR="00DD372D">
        <w:rPr>
          <w:rFonts w:ascii="Verdana" w:hAnsi="Verdana"/>
          <w:color w:val="000000" w:themeColor="text1"/>
        </w:rPr>
        <w:t>.</w:t>
      </w:r>
      <w:r w:rsidR="00DC43A8">
        <w:rPr>
          <w:rStyle w:val="FootnoteReference"/>
          <w:rFonts w:ascii="Verdana" w:hAnsi="Verdana"/>
          <w:color w:val="000000" w:themeColor="text1"/>
        </w:rPr>
        <w:footnoteReference w:id="18"/>
      </w:r>
      <w:r w:rsidR="00DD372D">
        <w:rPr>
          <w:rFonts w:ascii="Verdana" w:hAnsi="Verdana"/>
          <w:color w:val="000000" w:themeColor="text1"/>
        </w:rPr>
        <w:t xml:space="preserve"> </w:t>
      </w:r>
      <w:r w:rsidR="00EE43A7" w:rsidRPr="001927CF">
        <w:rPr>
          <w:rFonts w:ascii="Verdana" w:hAnsi="Verdana"/>
          <w:color w:val="000000" w:themeColor="text1"/>
        </w:rPr>
        <w:t xml:space="preserve">Participants noted that some institutions still used </w:t>
      </w:r>
      <w:r w:rsidR="006D2DF9">
        <w:rPr>
          <w:rFonts w:ascii="Verdana" w:hAnsi="Verdana"/>
          <w:color w:val="000000" w:themeColor="text1"/>
        </w:rPr>
        <w:t xml:space="preserve">the phrase </w:t>
      </w:r>
      <w:r w:rsidR="00EE43A7" w:rsidRPr="001927CF">
        <w:rPr>
          <w:rFonts w:ascii="Verdana" w:hAnsi="Verdana"/>
          <w:color w:val="000000" w:themeColor="text1"/>
        </w:rPr>
        <w:t>‘attainment gaps’</w:t>
      </w:r>
      <w:r w:rsidR="006D2DF9">
        <w:rPr>
          <w:rFonts w:ascii="Verdana" w:hAnsi="Verdana"/>
          <w:color w:val="000000" w:themeColor="text1"/>
        </w:rPr>
        <w:t>, perhaps suggesting a reluctance to move away from a deficit model.</w:t>
      </w:r>
      <w:r w:rsidR="00EE43A7" w:rsidRPr="001927CF">
        <w:rPr>
          <w:rFonts w:ascii="Verdana" w:hAnsi="Verdana"/>
          <w:color w:val="000000" w:themeColor="text1"/>
        </w:rPr>
        <w:t xml:space="preserve"> Many also noted a change in terminology from ‘reducing’ to ‘eliminating’ awarding gaps. </w:t>
      </w:r>
      <w:r w:rsidR="00DD372D">
        <w:rPr>
          <w:rFonts w:ascii="Verdana" w:hAnsi="Verdana"/>
          <w:color w:val="000000" w:themeColor="text1"/>
        </w:rPr>
        <w:t>Participants however felt that</w:t>
      </w:r>
      <w:r w:rsidR="00DD372D" w:rsidRPr="001927CF">
        <w:rPr>
          <w:rFonts w:ascii="Verdana" w:hAnsi="Verdana"/>
          <w:color w:val="000000" w:themeColor="text1"/>
        </w:rPr>
        <w:t xml:space="preserve"> awarding gaps </w:t>
      </w:r>
      <w:r w:rsidR="00DD372D">
        <w:rPr>
          <w:rFonts w:ascii="Verdana" w:hAnsi="Verdana"/>
          <w:color w:val="000000" w:themeColor="text1"/>
        </w:rPr>
        <w:t>emphasised an</w:t>
      </w:r>
      <w:r w:rsidR="00DD372D" w:rsidRPr="001927CF">
        <w:rPr>
          <w:rFonts w:ascii="Verdana" w:hAnsi="Verdana"/>
          <w:color w:val="000000" w:themeColor="text1"/>
        </w:rPr>
        <w:t xml:space="preserve"> end </w:t>
      </w:r>
      <w:r w:rsidR="00DD372D" w:rsidRPr="001927CF">
        <w:rPr>
          <w:rFonts w:ascii="Verdana" w:hAnsi="Verdana"/>
          <w:color w:val="000000" w:themeColor="text1"/>
        </w:rPr>
        <w:lastRenderedPageBreak/>
        <w:t>point</w:t>
      </w:r>
      <w:r w:rsidR="00DD372D">
        <w:rPr>
          <w:rFonts w:ascii="Verdana" w:hAnsi="Verdana"/>
          <w:color w:val="000000" w:themeColor="text1"/>
        </w:rPr>
        <w:t xml:space="preserve"> (degree awarding) and</w:t>
      </w:r>
      <w:r w:rsidR="00DD372D" w:rsidRPr="001927CF">
        <w:rPr>
          <w:rFonts w:ascii="Verdana" w:hAnsi="Verdana"/>
          <w:color w:val="000000" w:themeColor="text1"/>
        </w:rPr>
        <w:t xml:space="preserve"> that greater emphasis needed to be </w:t>
      </w:r>
      <w:r w:rsidR="00DD372D">
        <w:rPr>
          <w:rFonts w:ascii="Verdana" w:hAnsi="Verdana"/>
          <w:color w:val="000000" w:themeColor="text1"/>
        </w:rPr>
        <w:t xml:space="preserve">placed </w:t>
      </w:r>
      <w:r w:rsidR="00DD372D" w:rsidRPr="001927CF">
        <w:rPr>
          <w:rFonts w:ascii="Verdana" w:hAnsi="Verdana"/>
          <w:color w:val="000000" w:themeColor="text1"/>
        </w:rPr>
        <w:t>on measuring ‘gaps’ across the degree from induction, transition and</w:t>
      </w:r>
      <w:r w:rsidR="00B56B79">
        <w:rPr>
          <w:rFonts w:ascii="Verdana" w:hAnsi="Verdana"/>
          <w:color w:val="000000" w:themeColor="text1"/>
        </w:rPr>
        <w:t xml:space="preserve"> </w:t>
      </w:r>
      <w:r w:rsidR="00DD372D" w:rsidRPr="001927CF">
        <w:rPr>
          <w:rFonts w:ascii="Verdana" w:hAnsi="Verdana"/>
          <w:color w:val="000000" w:themeColor="text1"/>
        </w:rPr>
        <w:t>retention to graduation and beyond.</w:t>
      </w:r>
      <w:r w:rsidR="00DD372D">
        <w:rPr>
          <w:rFonts w:ascii="Verdana" w:hAnsi="Verdana"/>
          <w:color w:val="000000" w:themeColor="text1"/>
        </w:rPr>
        <w:t xml:space="preserve"> </w:t>
      </w:r>
      <w:r w:rsidR="00BD2FA0" w:rsidRPr="001927CF">
        <w:rPr>
          <w:rFonts w:ascii="Verdana" w:hAnsi="Verdana"/>
          <w:color w:val="000000" w:themeColor="text1"/>
        </w:rPr>
        <w:t>T</w:t>
      </w:r>
      <w:r w:rsidR="005D2FA5" w:rsidRPr="001927CF">
        <w:rPr>
          <w:rFonts w:ascii="Verdana" w:hAnsi="Verdana"/>
          <w:color w:val="000000" w:themeColor="text1"/>
        </w:rPr>
        <w:t>he introduction of Access and Participation Plans</w:t>
      </w:r>
      <w:r w:rsidR="00036436" w:rsidRPr="001927CF">
        <w:rPr>
          <w:rFonts w:ascii="Verdana" w:hAnsi="Verdana"/>
          <w:color w:val="000000" w:themeColor="text1"/>
        </w:rPr>
        <w:t xml:space="preserve"> (APPs)</w:t>
      </w:r>
      <w:r w:rsidR="005D2FA5" w:rsidRPr="001927CF">
        <w:rPr>
          <w:rFonts w:ascii="Verdana" w:hAnsi="Verdana"/>
          <w:color w:val="000000" w:themeColor="text1"/>
        </w:rPr>
        <w:t xml:space="preserve"> </w:t>
      </w:r>
      <w:r w:rsidR="00176E5E">
        <w:rPr>
          <w:rFonts w:ascii="Verdana" w:hAnsi="Verdana"/>
          <w:color w:val="000000" w:themeColor="text1"/>
        </w:rPr>
        <w:t>entail</w:t>
      </w:r>
      <w:r w:rsidR="005D2FA5" w:rsidRPr="001927CF">
        <w:rPr>
          <w:rFonts w:ascii="Verdana" w:hAnsi="Verdana"/>
          <w:color w:val="000000" w:themeColor="text1"/>
        </w:rPr>
        <w:t xml:space="preserve"> that HE providers develop intervention strategies and evaluate the impact of this work</w:t>
      </w:r>
      <w:r w:rsidR="00E00A0C" w:rsidRPr="001927CF">
        <w:rPr>
          <w:rFonts w:ascii="Verdana" w:hAnsi="Verdana"/>
          <w:color w:val="000000" w:themeColor="text1"/>
        </w:rPr>
        <w:t>.</w:t>
      </w:r>
      <w:r w:rsidR="00FE6E56">
        <w:rPr>
          <w:rStyle w:val="FootnoteReference"/>
          <w:rFonts w:ascii="Verdana" w:hAnsi="Verdana"/>
          <w:color w:val="000000" w:themeColor="text1"/>
        </w:rPr>
        <w:footnoteReference w:id="19"/>
      </w:r>
      <w:r w:rsidR="00E00A0C" w:rsidRPr="001927CF">
        <w:rPr>
          <w:rFonts w:ascii="Verdana" w:hAnsi="Verdana"/>
          <w:color w:val="000000" w:themeColor="text1"/>
        </w:rPr>
        <w:t xml:space="preserve"> Focus group participants saw the potential of these plans</w:t>
      </w:r>
      <w:r w:rsidR="003E57AC" w:rsidRPr="001927CF">
        <w:rPr>
          <w:rFonts w:ascii="Verdana" w:hAnsi="Verdana"/>
          <w:color w:val="000000" w:themeColor="text1"/>
        </w:rPr>
        <w:t>, particularly at department or school level,</w:t>
      </w:r>
      <w:r w:rsidR="00E00A0C" w:rsidRPr="001927CF">
        <w:rPr>
          <w:rFonts w:ascii="Verdana" w:hAnsi="Verdana"/>
          <w:color w:val="000000" w:themeColor="text1"/>
        </w:rPr>
        <w:t xml:space="preserve"> but still noted that the</w:t>
      </w:r>
      <w:r w:rsidR="006D4855" w:rsidRPr="001927CF">
        <w:rPr>
          <w:rFonts w:ascii="Verdana" w:hAnsi="Verdana"/>
          <w:color w:val="000000" w:themeColor="text1"/>
        </w:rPr>
        <w:t xml:space="preserve"> ‘problematic </w:t>
      </w:r>
      <w:r w:rsidR="00E00A0C" w:rsidRPr="001927CF">
        <w:rPr>
          <w:rFonts w:ascii="Verdana" w:hAnsi="Verdana"/>
          <w:color w:val="000000" w:themeColor="text1"/>
        </w:rPr>
        <w:t>data</w:t>
      </w:r>
      <w:r w:rsidR="006D4855" w:rsidRPr="001927CF">
        <w:rPr>
          <w:rFonts w:ascii="Verdana" w:hAnsi="Verdana"/>
          <w:color w:val="000000" w:themeColor="text1"/>
        </w:rPr>
        <w:t>’</w:t>
      </w:r>
      <w:r w:rsidR="00E00A0C" w:rsidRPr="001927CF">
        <w:rPr>
          <w:rFonts w:ascii="Verdana" w:hAnsi="Verdana"/>
          <w:color w:val="000000" w:themeColor="text1"/>
        </w:rPr>
        <w:t xml:space="preserve"> </w:t>
      </w:r>
      <w:r w:rsidR="006D4855" w:rsidRPr="001927CF">
        <w:rPr>
          <w:rFonts w:ascii="Verdana" w:hAnsi="Verdana"/>
          <w:color w:val="000000" w:themeColor="text1"/>
        </w:rPr>
        <w:t>and the</w:t>
      </w:r>
      <w:r w:rsidR="00795796" w:rsidRPr="001927CF">
        <w:rPr>
          <w:rFonts w:ascii="Verdana" w:hAnsi="Verdana"/>
          <w:color w:val="000000" w:themeColor="text1"/>
        </w:rPr>
        <w:t xml:space="preserve"> lack </w:t>
      </w:r>
      <w:r w:rsidR="006D4855" w:rsidRPr="001927CF">
        <w:rPr>
          <w:rFonts w:ascii="Verdana" w:hAnsi="Verdana"/>
          <w:color w:val="000000" w:themeColor="text1"/>
        </w:rPr>
        <w:t>of lived experiences of a diverse range of students</w:t>
      </w:r>
      <w:r w:rsidR="005D17B8">
        <w:rPr>
          <w:rFonts w:ascii="Verdana" w:hAnsi="Verdana"/>
          <w:color w:val="000000" w:themeColor="text1"/>
        </w:rPr>
        <w:t xml:space="preserve"> could compromise the efficacy of these plans</w:t>
      </w:r>
      <w:r w:rsidR="00795796" w:rsidRPr="001927CF">
        <w:rPr>
          <w:rFonts w:ascii="Verdana" w:hAnsi="Verdana"/>
          <w:color w:val="000000" w:themeColor="text1"/>
        </w:rPr>
        <w:t xml:space="preserve">. </w:t>
      </w:r>
      <w:r w:rsidR="00B74C99">
        <w:rPr>
          <w:rFonts w:ascii="Verdana" w:hAnsi="Verdana"/>
          <w:color w:val="000000" w:themeColor="text1"/>
        </w:rPr>
        <w:t xml:space="preserve">As </w:t>
      </w:r>
      <w:r w:rsidR="00387411">
        <w:rPr>
          <w:rFonts w:ascii="Verdana" w:hAnsi="Verdana"/>
          <w:color w:val="000000" w:themeColor="text1"/>
        </w:rPr>
        <w:t xml:space="preserve">Randall </w:t>
      </w:r>
      <w:r w:rsidR="00B74C99">
        <w:rPr>
          <w:rFonts w:ascii="Verdana" w:hAnsi="Verdana"/>
          <w:color w:val="000000" w:themeColor="text1"/>
        </w:rPr>
        <w:t>Whittaker argued ‘Not many university leaders have lived experience of being from [marginalised or under-represented] social groups and so have a fear of getting it wrong’.</w:t>
      </w:r>
      <w:r w:rsidR="00B74C99">
        <w:rPr>
          <w:rStyle w:val="FootnoteReference"/>
          <w:rFonts w:ascii="Verdana" w:hAnsi="Verdana"/>
          <w:color w:val="000000" w:themeColor="text1"/>
        </w:rPr>
        <w:footnoteReference w:id="20"/>
      </w:r>
      <w:r w:rsidR="00B74C99">
        <w:rPr>
          <w:rFonts w:ascii="Verdana" w:hAnsi="Verdana"/>
          <w:color w:val="000000" w:themeColor="text1"/>
        </w:rPr>
        <w:t xml:space="preserve"> </w:t>
      </w:r>
      <w:r w:rsidR="00036436" w:rsidRPr="001927CF">
        <w:rPr>
          <w:rFonts w:ascii="Verdana" w:hAnsi="Verdana"/>
          <w:color w:val="000000" w:themeColor="text1"/>
        </w:rPr>
        <w:t>Without going into detail about specific APPs</w:t>
      </w:r>
      <w:r w:rsidR="00665B9B" w:rsidRPr="001927CF">
        <w:rPr>
          <w:rFonts w:ascii="Verdana" w:hAnsi="Verdana"/>
          <w:color w:val="000000" w:themeColor="text1"/>
        </w:rPr>
        <w:t xml:space="preserve">, participants highlighted the </w:t>
      </w:r>
      <w:r w:rsidR="005D17B8">
        <w:rPr>
          <w:rFonts w:ascii="Verdana" w:hAnsi="Verdana"/>
          <w:color w:val="000000" w:themeColor="text1"/>
        </w:rPr>
        <w:t>importance of</w:t>
      </w:r>
      <w:r w:rsidR="005835CB" w:rsidRPr="001927CF">
        <w:rPr>
          <w:rFonts w:ascii="Verdana" w:hAnsi="Verdana"/>
          <w:color w:val="000000" w:themeColor="text1"/>
        </w:rPr>
        <w:t xml:space="preserve"> </w:t>
      </w:r>
      <w:r w:rsidR="00665B9B" w:rsidRPr="001927CF">
        <w:rPr>
          <w:rFonts w:ascii="Verdana" w:hAnsi="Verdana"/>
          <w:color w:val="000000" w:themeColor="text1"/>
        </w:rPr>
        <w:t>widening participation initiatives</w:t>
      </w:r>
      <w:r w:rsidR="005835CB" w:rsidRPr="001927CF">
        <w:rPr>
          <w:rFonts w:ascii="Verdana" w:hAnsi="Verdana"/>
          <w:color w:val="000000" w:themeColor="text1"/>
        </w:rPr>
        <w:t xml:space="preserve"> and </w:t>
      </w:r>
      <w:r w:rsidR="00665B9B" w:rsidRPr="001927CF">
        <w:rPr>
          <w:rFonts w:ascii="Verdana" w:hAnsi="Verdana"/>
          <w:color w:val="000000" w:themeColor="text1"/>
        </w:rPr>
        <w:t>recruitment, support for transition</w:t>
      </w:r>
      <w:r w:rsidR="005835CB" w:rsidRPr="001927CF">
        <w:rPr>
          <w:rFonts w:ascii="Verdana" w:hAnsi="Verdana"/>
          <w:color w:val="000000" w:themeColor="text1"/>
        </w:rPr>
        <w:t xml:space="preserve"> to university and</w:t>
      </w:r>
      <w:r w:rsidR="00665B9B" w:rsidRPr="001927CF">
        <w:rPr>
          <w:rFonts w:ascii="Verdana" w:hAnsi="Verdana"/>
          <w:color w:val="000000" w:themeColor="text1"/>
        </w:rPr>
        <w:t xml:space="preserve"> throughout the degree,</w:t>
      </w:r>
      <w:r w:rsidR="005835CB" w:rsidRPr="001927CF">
        <w:rPr>
          <w:rFonts w:ascii="Verdana" w:hAnsi="Verdana"/>
          <w:color w:val="000000" w:themeColor="text1"/>
        </w:rPr>
        <w:t xml:space="preserve"> and</w:t>
      </w:r>
      <w:r w:rsidR="00665B9B" w:rsidRPr="001927CF">
        <w:rPr>
          <w:rFonts w:ascii="Verdana" w:hAnsi="Verdana"/>
          <w:color w:val="000000" w:themeColor="text1"/>
        </w:rPr>
        <w:t xml:space="preserve"> community building</w:t>
      </w:r>
      <w:r w:rsidR="005835CB" w:rsidRPr="001927CF">
        <w:rPr>
          <w:rFonts w:ascii="Verdana" w:hAnsi="Verdana"/>
          <w:color w:val="000000" w:themeColor="text1"/>
        </w:rPr>
        <w:t xml:space="preserve"> and student voice.</w:t>
      </w:r>
      <w:r w:rsidR="00795796" w:rsidRPr="001927CF">
        <w:rPr>
          <w:rFonts w:ascii="Verdana" w:hAnsi="Verdana"/>
          <w:color w:val="000000" w:themeColor="text1"/>
        </w:rPr>
        <w:t xml:space="preserve"> </w:t>
      </w:r>
      <w:r w:rsidR="00ED343D" w:rsidRPr="001927CF">
        <w:rPr>
          <w:rFonts w:ascii="Verdana" w:hAnsi="Verdana"/>
          <w:color w:val="000000" w:themeColor="text1"/>
        </w:rPr>
        <w:t>Participants reflected how all-embracing the term ‘widening participation’ was and the importance of not making broad generalisations about WP cohorts or people within them, not least because not everyone within a specific WP group will have the same knowledge, cultural backgrounds or experiences.</w:t>
      </w:r>
      <w:r w:rsidR="001C208F">
        <w:rPr>
          <w:rStyle w:val="FootnoteReference"/>
          <w:rFonts w:ascii="Verdana" w:hAnsi="Verdana"/>
          <w:color w:val="000000" w:themeColor="text1"/>
        </w:rPr>
        <w:footnoteReference w:id="21"/>
      </w:r>
      <w:r w:rsidR="00ED343D">
        <w:rPr>
          <w:rFonts w:ascii="Verdana" w:hAnsi="Verdana"/>
          <w:color w:val="000000" w:themeColor="text1"/>
        </w:rPr>
        <w:t xml:space="preserve"> </w:t>
      </w:r>
      <w:r w:rsidR="00ED343D" w:rsidRPr="001927CF">
        <w:rPr>
          <w:rFonts w:ascii="Verdana" w:hAnsi="Verdana"/>
          <w:color w:val="000000" w:themeColor="text1"/>
        </w:rPr>
        <w:t>Moreover, participants</w:t>
      </w:r>
      <w:r w:rsidR="00D7329C">
        <w:rPr>
          <w:rFonts w:ascii="Verdana" w:hAnsi="Verdana"/>
          <w:color w:val="4472C4" w:themeColor="accent1"/>
        </w:rPr>
        <w:t xml:space="preserve"> </w:t>
      </w:r>
      <w:r w:rsidR="000E0EDE" w:rsidRPr="000E0EDE">
        <w:rPr>
          <w:rFonts w:ascii="Verdana" w:hAnsi="Verdana"/>
          <w:color w:val="000000" w:themeColor="text1"/>
        </w:rPr>
        <w:t>highlighted</w:t>
      </w:r>
      <w:r w:rsidR="00ED343D" w:rsidRPr="001927CF">
        <w:rPr>
          <w:rFonts w:ascii="Verdana" w:hAnsi="Verdana"/>
          <w:color w:val="000000" w:themeColor="text1"/>
        </w:rPr>
        <w:t xml:space="preserve"> the importance of ‘in-reach’ to ensure that ‘outreach and WP initiatives and the rhetoric around inclusivity is translated into positive experiences for all students on campus’</w:t>
      </w:r>
      <w:r w:rsidR="00ED343D">
        <w:rPr>
          <w:rFonts w:ascii="Verdana" w:hAnsi="Verdana"/>
          <w:color w:val="000000" w:themeColor="text1"/>
        </w:rPr>
        <w:t xml:space="preserve">. </w:t>
      </w:r>
      <w:r w:rsidR="00795796" w:rsidRPr="001927CF">
        <w:rPr>
          <w:rFonts w:ascii="Verdana" w:hAnsi="Verdana"/>
          <w:color w:val="000000" w:themeColor="text1"/>
        </w:rPr>
        <w:t xml:space="preserve">Looking beyond undergraduate study, many noted the low levels of Black and ethnic minority groups </w:t>
      </w:r>
      <w:r w:rsidR="00FC7EDE">
        <w:rPr>
          <w:rFonts w:ascii="Verdana" w:hAnsi="Verdana"/>
          <w:color w:val="000000" w:themeColor="text1"/>
        </w:rPr>
        <w:t>undertaking</w:t>
      </w:r>
      <w:r w:rsidR="00795796" w:rsidRPr="001927CF">
        <w:rPr>
          <w:rFonts w:ascii="Verdana" w:hAnsi="Verdana"/>
          <w:color w:val="000000" w:themeColor="text1"/>
        </w:rPr>
        <w:t xml:space="preserve"> history PhDs – in part due to aforementioned issues faced at </w:t>
      </w:r>
      <w:r w:rsidR="00FC7EDE">
        <w:rPr>
          <w:rFonts w:ascii="Verdana" w:hAnsi="Verdana"/>
          <w:color w:val="000000" w:themeColor="text1"/>
        </w:rPr>
        <w:t>undergraduate</w:t>
      </w:r>
      <w:r w:rsidR="00795796" w:rsidRPr="001927CF">
        <w:rPr>
          <w:rFonts w:ascii="Verdana" w:hAnsi="Verdana"/>
          <w:color w:val="000000" w:themeColor="text1"/>
        </w:rPr>
        <w:t xml:space="preserve"> level – and the need for greater awareness about support and funding available for these students.</w:t>
      </w:r>
      <w:r w:rsidR="00E13830">
        <w:rPr>
          <w:rStyle w:val="FootnoteReference"/>
          <w:rFonts w:ascii="Verdana" w:hAnsi="Verdana"/>
          <w:color w:val="000000" w:themeColor="text1"/>
        </w:rPr>
        <w:footnoteReference w:id="22"/>
      </w:r>
    </w:p>
    <w:p w14:paraId="2E43AEBA" w14:textId="77777777" w:rsidR="00CA2726" w:rsidRDefault="00CA2726" w:rsidP="001927CF">
      <w:pPr>
        <w:spacing w:line="276" w:lineRule="auto"/>
        <w:rPr>
          <w:rFonts w:ascii="Verdana" w:hAnsi="Verdana"/>
          <w:color w:val="000000" w:themeColor="text1"/>
        </w:rPr>
      </w:pPr>
    </w:p>
    <w:p w14:paraId="6050E50E" w14:textId="24D540EC" w:rsidR="003D6402" w:rsidRDefault="001A0C43" w:rsidP="001927CF">
      <w:pPr>
        <w:spacing w:line="276" w:lineRule="auto"/>
        <w:rPr>
          <w:rFonts w:ascii="Verdana" w:hAnsi="Verdana"/>
          <w:color w:val="000000" w:themeColor="text1"/>
        </w:rPr>
      </w:pPr>
      <w:r w:rsidRPr="00061DE5">
        <w:rPr>
          <w:rStyle w:val="Heading1Char"/>
        </w:rPr>
        <w:t>Procedures and Processes</w:t>
      </w:r>
      <w:r w:rsidRPr="00425339">
        <w:rPr>
          <w:rFonts w:ascii="Verdana" w:hAnsi="Verdana"/>
          <w:color w:val="FF0000"/>
        </w:rPr>
        <w:br/>
      </w:r>
      <w:r w:rsidRPr="009D2EF9">
        <w:rPr>
          <w:rFonts w:ascii="Verdana" w:hAnsi="Verdana"/>
          <w:color w:val="000000" w:themeColor="text1"/>
        </w:rPr>
        <w:t>Some participants felt there was an increasing disconnect between what was happening at institutional level and what was (or should be) happening in departments/units.</w:t>
      </w:r>
      <w:r w:rsidR="00425339" w:rsidRPr="009D2EF9">
        <w:rPr>
          <w:rFonts w:ascii="Verdana" w:hAnsi="Verdana"/>
          <w:color w:val="000000" w:themeColor="text1"/>
        </w:rPr>
        <w:t xml:space="preserve"> This was not to say that central initiatives were inherently bad, but rather to highlight a need for greater scope for agency at department/unit level</w:t>
      </w:r>
      <w:r w:rsidR="00146F39" w:rsidRPr="009D2EF9">
        <w:rPr>
          <w:rFonts w:ascii="Verdana" w:hAnsi="Verdana"/>
          <w:color w:val="000000" w:themeColor="text1"/>
        </w:rPr>
        <w:t xml:space="preserve"> to address immediate needs. </w:t>
      </w:r>
      <w:r w:rsidR="00282470" w:rsidRPr="009D2EF9">
        <w:rPr>
          <w:rFonts w:ascii="Verdana" w:hAnsi="Verdana"/>
          <w:color w:val="000000" w:themeColor="text1"/>
        </w:rPr>
        <w:t>A sense of frustration was expressed about not hav</w:t>
      </w:r>
      <w:r w:rsidR="00A953FE">
        <w:rPr>
          <w:rFonts w:ascii="Verdana" w:hAnsi="Verdana"/>
          <w:color w:val="000000" w:themeColor="text1"/>
        </w:rPr>
        <w:t>ing</w:t>
      </w:r>
      <w:r w:rsidR="00282470" w:rsidRPr="009D2EF9">
        <w:rPr>
          <w:rFonts w:ascii="Verdana" w:hAnsi="Verdana"/>
          <w:color w:val="000000" w:themeColor="text1"/>
        </w:rPr>
        <w:t xml:space="preserve"> the resources to respond to all the increasing </w:t>
      </w:r>
      <w:r w:rsidR="00A953FE">
        <w:rPr>
          <w:rFonts w:ascii="Verdana" w:hAnsi="Verdana"/>
          <w:color w:val="000000" w:themeColor="text1"/>
        </w:rPr>
        <w:t>(and sometimes competing) needs</w:t>
      </w:r>
      <w:r w:rsidR="00282470" w:rsidRPr="009D2EF9">
        <w:rPr>
          <w:rFonts w:ascii="Verdana" w:hAnsi="Verdana"/>
          <w:color w:val="000000" w:themeColor="text1"/>
        </w:rPr>
        <w:t xml:space="preserve"> or to be more flexible in responses. Centralised processes can mean people ‘on the ground’ don’t have the information they need or that would help until too late. </w:t>
      </w:r>
      <w:r w:rsidR="00282470" w:rsidRPr="00A953FE">
        <w:rPr>
          <w:rFonts w:ascii="Verdana" w:hAnsi="Verdana"/>
          <w:color w:val="000000" w:themeColor="text1"/>
        </w:rPr>
        <w:t xml:space="preserve">There were also concerns that policies and procedures were not </w:t>
      </w:r>
      <w:r w:rsidR="00A953FE" w:rsidRPr="00A953FE">
        <w:rPr>
          <w:rFonts w:ascii="Verdana" w:hAnsi="Verdana"/>
          <w:color w:val="000000" w:themeColor="text1"/>
        </w:rPr>
        <w:t xml:space="preserve">always </w:t>
      </w:r>
      <w:r w:rsidR="00282470" w:rsidRPr="00A953FE">
        <w:rPr>
          <w:rFonts w:ascii="Verdana" w:hAnsi="Verdana"/>
          <w:color w:val="000000" w:themeColor="text1"/>
        </w:rPr>
        <w:t>agile enough to respond to the increase</w:t>
      </w:r>
      <w:r w:rsidR="000730D4">
        <w:rPr>
          <w:rFonts w:ascii="Verdana" w:hAnsi="Verdana"/>
          <w:color w:val="000000" w:themeColor="text1"/>
        </w:rPr>
        <w:t>d</w:t>
      </w:r>
      <w:r w:rsidR="00282470" w:rsidRPr="00A953FE">
        <w:rPr>
          <w:rFonts w:ascii="Verdana" w:hAnsi="Verdana"/>
          <w:color w:val="000000" w:themeColor="text1"/>
        </w:rPr>
        <w:t xml:space="preserve"> demands and pace of change. </w:t>
      </w:r>
      <w:r w:rsidR="00F31A1D">
        <w:rPr>
          <w:rFonts w:ascii="Verdana" w:hAnsi="Verdana"/>
          <w:color w:val="000000" w:themeColor="text1"/>
        </w:rPr>
        <w:t>This is reflected in the wider literature on EDI policies.</w:t>
      </w:r>
      <w:r w:rsidR="00F31A1D">
        <w:rPr>
          <w:rStyle w:val="FootnoteReference"/>
          <w:rFonts w:ascii="Verdana" w:hAnsi="Verdana"/>
          <w:color w:val="000000" w:themeColor="text1"/>
        </w:rPr>
        <w:footnoteReference w:id="23"/>
      </w:r>
    </w:p>
    <w:p w14:paraId="0782EA02" w14:textId="77777777" w:rsidR="00E22D88" w:rsidRDefault="00E22D88" w:rsidP="001927CF">
      <w:pPr>
        <w:spacing w:line="276" w:lineRule="auto"/>
        <w:rPr>
          <w:rFonts w:ascii="Verdana" w:hAnsi="Verdana"/>
          <w:color w:val="000000" w:themeColor="text1"/>
        </w:rPr>
      </w:pPr>
    </w:p>
    <w:p w14:paraId="5F5F0AC9" w14:textId="77777777" w:rsidR="002408B3" w:rsidRPr="00665000" w:rsidRDefault="002408B3" w:rsidP="00061DE5">
      <w:pPr>
        <w:pStyle w:val="Heading1"/>
      </w:pPr>
      <w:r w:rsidRPr="00665000">
        <w:t>Staff/Recruitment</w:t>
      </w:r>
    </w:p>
    <w:p w14:paraId="6169043E" w14:textId="0D3BDED8" w:rsidR="002408B3" w:rsidRPr="00CF72D0" w:rsidRDefault="002408B3" w:rsidP="002408B3">
      <w:pPr>
        <w:spacing w:line="276" w:lineRule="auto"/>
        <w:rPr>
          <w:rFonts w:ascii="Verdana" w:hAnsi="Verdana"/>
          <w:color w:val="000000" w:themeColor="text1"/>
        </w:rPr>
      </w:pPr>
      <w:r w:rsidRPr="00665000">
        <w:rPr>
          <w:rFonts w:ascii="Verdana" w:hAnsi="Verdana"/>
          <w:color w:val="000000" w:themeColor="text1"/>
        </w:rPr>
        <w:t xml:space="preserve">The lack of </w:t>
      </w:r>
      <w:r>
        <w:rPr>
          <w:rFonts w:ascii="Verdana" w:hAnsi="Verdana"/>
          <w:color w:val="000000" w:themeColor="text1"/>
        </w:rPr>
        <w:t xml:space="preserve">diverse </w:t>
      </w:r>
      <w:r w:rsidRPr="00665000">
        <w:rPr>
          <w:rFonts w:ascii="Verdana" w:hAnsi="Verdana"/>
          <w:color w:val="000000" w:themeColor="text1"/>
        </w:rPr>
        <w:t>representation amongst staff</w:t>
      </w:r>
      <w:r>
        <w:rPr>
          <w:rFonts w:ascii="Verdana" w:hAnsi="Verdana"/>
          <w:color w:val="000000" w:themeColor="text1"/>
        </w:rPr>
        <w:t xml:space="preserve"> </w:t>
      </w:r>
      <w:r w:rsidRPr="00665000">
        <w:rPr>
          <w:rFonts w:ascii="Verdana" w:hAnsi="Verdana"/>
          <w:color w:val="000000" w:themeColor="text1"/>
        </w:rPr>
        <w:t xml:space="preserve">was noted as having ‘significant implications’ for EDI work. </w:t>
      </w:r>
      <w:r>
        <w:rPr>
          <w:rFonts w:ascii="Verdana" w:hAnsi="Verdana"/>
          <w:color w:val="000000" w:themeColor="text1"/>
        </w:rPr>
        <w:t>O</w:t>
      </w:r>
      <w:r w:rsidRPr="00665000">
        <w:rPr>
          <w:rFonts w:ascii="Verdana" w:hAnsi="Verdana"/>
          <w:color w:val="000000" w:themeColor="text1"/>
        </w:rPr>
        <w:t xml:space="preserve">ne participant </w:t>
      </w:r>
      <w:r>
        <w:rPr>
          <w:rFonts w:ascii="Verdana" w:hAnsi="Verdana"/>
          <w:color w:val="000000" w:themeColor="text1"/>
        </w:rPr>
        <w:t>sai</w:t>
      </w:r>
      <w:r w:rsidRPr="00665000">
        <w:rPr>
          <w:rFonts w:ascii="Verdana" w:hAnsi="Verdana"/>
          <w:color w:val="000000" w:themeColor="text1"/>
        </w:rPr>
        <w:t>d</w:t>
      </w:r>
      <w:r>
        <w:rPr>
          <w:rFonts w:ascii="Verdana" w:hAnsi="Verdana"/>
          <w:color w:val="000000" w:themeColor="text1"/>
        </w:rPr>
        <w:t>,</w:t>
      </w:r>
      <w:r w:rsidRPr="00665000">
        <w:rPr>
          <w:rFonts w:ascii="Verdana" w:hAnsi="Verdana"/>
          <w:color w:val="000000" w:themeColor="text1"/>
        </w:rPr>
        <w:t xml:space="preserve"> ‘we cannot talk about decolonising or diversifying the curriculum without addressing staffing’. Some participants </w:t>
      </w:r>
      <w:r>
        <w:rPr>
          <w:rFonts w:ascii="Verdana" w:hAnsi="Verdana"/>
          <w:color w:val="000000" w:themeColor="text1"/>
        </w:rPr>
        <w:t>observed</w:t>
      </w:r>
      <w:r w:rsidRPr="00665000">
        <w:rPr>
          <w:rFonts w:ascii="Verdana" w:hAnsi="Verdana"/>
          <w:color w:val="000000" w:themeColor="text1"/>
        </w:rPr>
        <w:t xml:space="preserve"> a push for greater diversity in staff, strategic hires</w:t>
      </w:r>
      <w:r>
        <w:rPr>
          <w:rFonts w:ascii="Verdana" w:hAnsi="Verdana"/>
          <w:color w:val="000000" w:themeColor="text1"/>
        </w:rPr>
        <w:t>,</w:t>
      </w:r>
      <w:r w:rsidRPr="00665000">
        <w:rPr>
          <w:rFonts w:ascii="Verdana" w:hAnsi="Verdana"/>
          <w:color w:val="000000" w:themeColor="text1"/>
        </w:rPr>
        <w:t xml:space="preserve"> and unconscious bias training for members of interview panels. However, other participants noted that some institutions were not in a position to recruit new staff. Some felt that more diverse representation had been achieved even without new recruitment by working in partnership and collaboration. For instance, </w:t>
      </w:r>
      <w:r>
        <w:rPr>
          <w:rFonts w:ascii="Verdana" w:hAnsi="Verdana"/>
          <w:color w:val="000000" w:themeColor="text1"/>
        </w:rPr>
        <w:t xml:space="preserve">by </w:t>
      </w:r>
      <w:r w:rsidRPr="00665000">
        <w:rPr>
          <w:rFonts w:ascii="Verdana" w:hAnsi="Verdana"/>
          <w:color w:val="000000" w:themeColor="text1"/>
        </w:rPr>
        <w:t>inviting guest speakers or working with other organisations (e.g. museums and galleries)</w:t>
      </w:r>
      <w:r>
        <w:rPr>
          <w:rFonts w:ascii="Verdana" w:hAnsi="Verdana"/>
          <w:color w:val="000000" w:themeColor="text1"/>
        </w:rPr>
        <w:t>,</w:t>
      </w:r>
      <w:r w:rsidRPr="00665000">
        <w:rPr>
          <w:rFonts w:ascii="Verdana" w:hAnsi="Verdana"/>
          <w:color w:val="000000" w:themeColor="text1"/>
        </w:rPr>
        <w:t xml:space="preserve"> which can have the added benefit of introducing professional skills and experiencing them in action from people who have applied the study of history to a range of careers. Nevertheless, participants recognised that this still raised issues of money and resources and could not be viewed by institutions as an alternative to more diverse recruitment. Wider issues about staff representation were discussed in relation to student recruitment, retention and progression. Participants </w:t>
      </w:r>
      <w:r w:rsidRPr="00665000">
        <w:rPr>
          <w:rFonts w:ascii="Verdana" w:hAnsi="Verdana"/>
          <w:color w:val="000000" w:themeColor="text1"/>
        </w:rPr>
        <w:lastRenderedPageBreak/>
        <w:t xml:space="preserve">noted the need for clear pathways and resources to support diverse entry not only onto </w:t>
      </w:r>
      <w:r w:rsidR="00CA2726">
        <w:rPr>
          <w:rFonts w:ascii="Verdana" w:hAnsi="Verdana"/>
          <w:color w:val="000000" w:themeColor="text1"/>
        </w:rPr>
        <w:t>undergraduate</w:t>
      </w:r>
      <w:r w:rsidRPr="00665000">
        <w:rPr>
          <w:rFonts w:ascii="Verdana" w:hAnsi="Verdana"/>
          <w:color w:val="000000" w:themeColor="text1"/>
        </w:rPr>
        <w:t xml:space="preserve"> degrees but also Masters, PhDs and early career positions. </w:t>
      </w:r>
    </w:p>
    <w:p w14:paraId="2C60C455" w14:textId="77777777" w:rsidR="00CA2726" w:rsidRDefault="00CA2726" w:rsidP="00F9213E">
      <w:pPr>
        <w:spacing w:line="276" w:lineRule="auto"/>
        <w:rPr>
          <w:rFonts w:ascii="Verdana" w:hAnsi="Verdana"/>
          <w:color w:val="FF0000"/>
        </w:rPr>
      </w:pPr>
    </w:p>
    <w:p w14:paraId="167510B9" w14:textId="77777777" w:rsidR="00F9213E" w:rsidRPr="00225401" w:rsidRDefault="00F9213E" w:rsidP="00061DE5">
      <w:pPr>
        <w:pStyle w:val="Heading1"/>
      </w:pPr>
      <w:r w:rsidRPr="00225401">
        <w:t xml:space="preserve">Workload </w:t>
      </w:r>
    </w:p>
    <w:p w14:paraId="4A59DE15" w14:textId="7EE42F9D" w:rsidR="00EF783C" w:rsidRPr="00EF783C" w:rsidRDefault="00F9213E" w:rsidP="00EF783C">
      <w:pPr>
        <w:spacing w:line="276" w:lineRule="auto"/>
        <w:rPr>
          <w:rFonts w:ascii="Verdana" w:hAnsi="Verdana"/>
          <w:color w:val="000000" w:themeColor="text1"/>
        </w:rPr>
      </w:pPr>
      <w:r w:rsidRPr="001927CF">
        <w:rPr>
          <w:rFonts w:ascii="Verdana" w:hAnsi="Verdana"/>
          <w:color w:val="000000" w:themeColor="text1"/>
        </w:rPr>
        <w:t xml:space="preserve">Workload </w:t>
      </w:r>
      <w:r w:rsidR="00EF783C">
        <w:rPr>
          <w:rFonts w:ascii="Verdana" w:hAnsi="Verdana"/>
          <w:color w:val="000000" w:themeColor="text1"/>
        </w:rPr>
        <w:t>has been</w:t>
      </w:r>
      <w:r w:rsidRPr="001927CF">
        <w:rPr>
          <w:rFonts w:ascii="Verdana" w:hAnsi="Verdana"/>
          <w:color w:val="000000" w:themeColor="text1"/>
        </w:rPr>
        <w:t xml:space="preserve"> noted as a major EDI issue affecting staff health and wellbeing. </w:t>
      </w:r>
      <w:r w:rsidR="00EF783C">
        <w:rPr>
          <w:rFonts w:ascii="Verdana" w:hAnsi="Verdana"/>
          <w:color w:val="000000" w:themeColor="text1"/>
        </w:rPr>
        <w:t>Even before Covid-19, academic staff within HEIs reported</w:t>
      </w:r>
      <w:r w:rsidR="00EF783C" w:rsidRPr="00EF783C">
        <w:rPr>
          <w:rFonts w:ascii="Verdana" w:hAnsi="Verdana" w:cs="Arial"/>
          <w:color w:val="FF0000"/>
        </w:rPr>
        <w:t xml:space="preserve"> </w:t>
      </w:r>
      <w:r w:rsidR="00EF783C" w:rsidRPr="00EF783C">
        <w:rPr>
          <w:rFonts w:ascii="Verdana" w:hAnsi="Verdana"/>
          <w:color w:val="000000" w:themeColor="text1"/>
        </w:rPr>
        <w:t>highly demanding and stressful workloads leading to increasing rates of mental illness and poor wellbeing. The demands of research and teaching matrix, rising numbers of students and associated increased diversity in the student population coupled with decreased staffing ratios, have led to staff feeling overworked and devalued. Burnout as a result of high level of job demands coupled with limited resources, short-term contract and precarious working conditions, redundancies following department closures, as well as low levels of job satisfactions are amongst the most common experiences outlined in surveys of academic staff in UKHEIs and abroad.</w:t>
      </w:r>
      <w:r w:rsidR="00EF783C" w:rsidRPr="00EF783C">
        <w:rPr>
          <w:rFonts w:ascii="Verdana" w:hAnsi="Verdana"/>
          <w:color w:val="000000" w:themeColor="text1"/>
          <w:vertAlign w:val="superscript"/>
        </w:rPr>
        <w:footnoteReference w:id="24"/>
      </w:r>
      <w:r w:rsidR="00EF783C" w:rsidRPr="00EF783C">
        <w:rPr>
          <w:rFonts w:ascii="Verdana" w:hAnsi="Verdana"/>
          <w:color w:val="000000" w:themeColor="text1"/>
        </w:rPr>
        <w:t xml:space="preserve"> </w:t>
      </w:r>
    </w:p>
    <w:p w14:paraId="7DDCA91A" w14:textId="74A99C40" w:rsidR="00EF783C" w:rsidRDefault="00EF783C" w:rsidP="00F9213E">
      <w:pPr>
        <w:spacing w:line="276" w:lineRule="auto"/>
        <w:rPr>
          <w:rFonts w:ascii="Verdana" w:hAnsi="Verdana"/>
          <w:color w:val="000000" w:themeColor="text1"/>
        </w:rPr>
      </w:pPr>
    </w:p>
    <w:p w14:paraId="2A642282" w14:textId="77777777" w:rsidR="00EF783C" w:rsidRPr="00EF783C" w:rsidRDefault="00EF783C" w:rsidP="00EF783C">
      <w:pPr>
        <w:spacing w:line="276" w:lineRule="auto"/>
        <w:rPr>
          <w:rFonts w:ascii="Verdana" w:hAnsi="Verdana"/>
          <w:color w:val="000000" w:themeColor="text1"/>
        </w:rPr>
      </w:pPr>
      <w:r w:rsidRPr="00EF783C">
        <w:rPr>
          <w:rFonts w:ascii="Verdana" w:hAnsi="Verdana"/>
          <w:color w:val="000000" w:themeColor="text1"/>
        </w:rPr>
        <w:t>Staff workload allocation has been the subject of numerous reports and policy papers; as financial and regulatory pressures coupled with growth in student numbers started to be experienced in UK Higher Education, the need for a comprehensive system of workload allocation based on equity, transparency and consultation became more apparent. The recommendations of the 2007 Leadership Foundation for Higher Education report highlight the ‘dynamic’ nature of the workload allocation model, which far from being the result of ‘managerialist intervention’ should be the product of an active engagement with and by academic staff.</w:t>
      </w:r>
      <w:r w:rsidRPr="00EF783C">
        <w:rPr>
          <w:rFonts w:ascii="Verdana" w:hAnsi="Verdana"/>
          <w:color w:val="000000" w:themeColor="text1"/>
          <w:vertAlign w:val="superscript"/>
        </w:rPr>
        <w:footnoteReference w:id="25"/>
      </w:r>
      <w:r w:rsidRPr="00EF783C">
        <w:rPr>
          <w:rFonts w:ascii="Verdana" w:hAnsi="Verdana"/>
          <w:color w:val="000000" w:themeColor="text1"/>
        </w:rPr>
        <w:t xml:space="preserve"> The principles underlined in the Leadership Foundation report remained at the </w:t>
      </w:r>
      <w:r w:rsidRPr="00EF783C">
        <w:rPr>
          <w:rFonts w:ascii="Verdana" w:hAnsi="Verdana"/>
          <w:color w:val="000000" w:themeColor="text1"/>
        </w:rPr>
        <w:lastRenderedPageBreak/>
        <w:t>heart of the Managing Academic Workload (MAW) project in the following years, and the data produced by the exercise is useful to ensure that resources are allocated correctly and that no member of staff is significantly over worked. However, the growth in academic workload has meant that there is often tension and disconnect between workload modelling and planning and what academics actually do.</w:t>
      </w:r>
      <w:r w:rsidRPr="00EF783C">
        <w:rPr>
          <w:rFonts w:ascii="Verdana" w:hAnsi="Verdana"/>
          <w:color w:val="000000" w:themeColor="text1"/>
          <w:vertAlign w:val="superscript"/>
        </w:rPr>
        <w:footnoteReference w:id="26"/>
      </w:r>
      <w:r w:rsidRPr="00EF783C">
        <w:rPr>
          <w:rFonts w:ascii="Verdana" w:hAnsi="Verdana"/>
          <w:color w:val="000000" w:themeColor="text1"/>
        </w:rPr>
        <w:t xml:space="preserve"> </w:t>
      </w:r>
    </w:p>
    <w:p w14:paraId="5E8C9E48" w14:textId="77777777" w:rsidR="00EF783C" w:rsidRPr="00EF783C" w:rsidRDefault="00EF783C" w:rsidP="00EF783C">
      <w:pPr>
        <w:spacing w:line="276" w:lineRule="auto"/>
        <w:rPr>
          <w:rFonts w:ascii="Verdana" w:hAnsi="Verdana"/>
          <w:color w:val="000000" w:themeColor="text1"/>
        </w:rPr>
      </w:pPr>
    </w:p>
    <w:p w14:paraId="53A10DD1" w14:textId="39A4C93A" w:rsidR="00EF783C" w:rsidRPr="00EF783C" w:rsidRDefault="00EF783C" w:rsidP="00EF783C">
      <w:pPr>
        <w:spacing w:line="276" w:lineRule="auto"/>
        <w:rPr>
          <w:rFonts w:ascii="Verdana" w:hAnsi="Verdana"/>
          <w:color w:val="000000" w:themeColor="text1"/>
        </w:rPr>
      </w:pPr>
      <w:r w:rsidRPr="00EF783C">
        <w:rPr>
          <w:rFonts w:ascii="Verdana" w:hAnsi="Verdana"/>
          <w:color w:val="000000" w:themeColor="text1"/>
        </w:rPr>
        <w:t>Changes to the universities financial model and market environment following the introduction of student fees in England, were identified in a 2015 report by the Financial Sustainability Strategy Group as issues that in the long-term might affect the sustainability and stability of higher education in the period after the 2007-2008 financial crisis.</w:t>
      </w:r>
      <w:r w:rsidRPr="00EF783C">
        <w:rPr>
          <w:rFonts w:ascii="Verdana" w:hAnsi="Verdana"/>
          <w:color w:val="000000" w:themeColor="text1"/>
          <w:vertAlign w:val="superscript"/>
        </w:rPr>
        <w:footnoteReference w:id="27"/>
      </w:r>
      <w:r w:rsidRPr="00EF783C">
        <w:rPr>
          <w:rFonts w:ascii="Verdana" w:hAnsi="Verdana"/>
          <w:color w:val="000000" w:themeColor="text1"/>
        </w:rPr>
        <w:t xml:space="preserve"> But it was </w:t>
      </w:r>
      <w:r w:rsidR="004D6410">
        <w:rPr>
          <w:rFonts w:ascii="Verdana" w:hAnsi="Verdana"/>
          <w:color w:val="000000" w:themeColor="text1"/>
        </w:rPr>
        <w:t xml:space="preserve">to </w:t>
      </w:r>
      <w:r w:rsidRPr="00EF783C">
        <w:rPr>
          <w:rFonts w:ascii="Verdana" w:hAnsi="Verdana"/>
          <w:color w:val="000000" w:themeColor="text1"/>
        </w:rPr>
        <w:t>be a different type of crisis that brought staff burnout and wellbeing to the fore. The Covid</w:t>
      </w:r>
      <w:r w:rsidR="004D6410">
        <w:rPr>
          <w:rFonts w:ascii="Verdana" w:hAnsi="Verdana"/>
          <w:color w:val="000000" w:themeColor="text1"/>
        </w:rPr>
        <w:t>-</w:t>
      </w:r>
      <w:r w:rsidRPr="00EF783C">
        <w:rPr>
          <w:rFonts w:ascii="Verdana" w:hAnsi="Verdana"/>
          <w:color w:val="000000" w:themeColor="text1"/>
        </w:rPr>
        <w:t>19 pandemic exacerbated poor mental health amongst academic staff as in-person teaching was suddenly moved online with often limited resources and time to prepare. Data collected in March 2021 across 92 universities and from 1,182 staff indicates that 55% of academic staff had experienced chronic emotional exhaustion, 53% had experienced worry and 51% stress during the academic year 2020-2021; 47% of the staff surveyed described their mental health as poor and 50% of staff had experienced high level of anxiety, compared to the national average of 32%.</w:t>
      </w:r>
      <w:r w:rsidRPr="00EF783C">
        <w:rPr>
          <w:rFonts w:ascii="Verdana" w:hAnsi="Verdana"/>
          <w:color w:val="000000" w:themeColor="text1"/>
          <w:vertAlign w:val="superscript"/>
        </w:rPr>
        <w:footnoteReference w:id="28"/>
      </w:r>
      <w:r w:rsidRPr="00EF783C">
        <w:rPr>
          <w:rFonts w:ascii="Verdana" w:hAnsi="Verdana"/>
          <w:color w:val="000000" w:themeColor="text1"/>
        </w:rPr>
        <w:t xml:space="preserve"> Further research into the experiences of academics during the pandemic showed that the demands of online teaching, which included the development of new teaching material and strategies, the expectation that they would support anxious and upset students and be available online 24/7, social isolation, the challenges of maintaining boundaries between work and personal life had all resulted in a dramatic increase in the number of working hours and caused mental and physical exhaustion amongst academic staff. Here are some worrying statistics </w:t>
      </w:r>
      <w:r w:rsidRPr="00EF783C">
        <w:rPr>
          <w:rFonts w:ascii="Verdana" w:hAnsi="Verdana"/>
          <w:color w:val="000000" w:themeColor="text1"/>
        </w:rPr>
        <w:lastRenderedPageBreak/>
        <w:t>emerging from one study that surveyed 2,046 academic and academic-related staff in 2021: 62% respondents reported regularly working over 40 hours per week; 53% showed signs of probable depression, and as a result 78% strongly believed that the psychological health of employees was as important as productivity in UKHEIs.</w:t>
      </w:r>
      <w:r w:rsidRPr="00EF783C">
        <w:rPr>
          <w:rFonts w:ascii="Verdana" w:hAnsi="Verdana"/>
          <w:color w:val="000000" w:themeColor="text1"/>
          <w:vertAlign w:val="superscript"/>
        </w:rPr>
        <w:footnoteReference w:id="29"/>
      </w:r>
    </w:p>
    <w:p w14:paraId="0BB7EF4D" w14:textId="77777777" w:rsidR="00EF783C" w:rsidRDefault="00EF783C" w:rsidP="00F9213E">
      <w:pPr>
        <w:spacing w:line="276" w:lineRule="auto"/>
        <w:rPr>
          <w:rFonts w:ascii="Verdana" w:hAnsi="Verdana"/>
          <w:color w:val="000000" w:themeColor="text1"/>
        </w:rPr>
      </w:pPr>
    </w:p>
    <w:p w14:paraId="240F3EA2" w14:textId="48732C04" w:rsidR="00F9213E" w:rsidRPr="001927CF" w:rsidRDefault="00EF783C" w:rsidP="00F9213E">
      <w:pPr>
        <w:spacing w:line="276" w:lineRule="auto"/>
        <w:rPr>
          <w:rFonts w:ascii="Verdana" w:hAnsi="Verdana"/>
          <w:color w:val="000000" w:themeColor="text1"/>
        </w:rPr>
      </w:pPr>
      <w:r>
        <w:rPr>
          <w:rFonts w:ascii="Verdana" w:hAnsi="Verdana"/>
          <w:color w:val="000000" w:themeColor="text1"/>
        </w:rPr>
        <w:t>The dramatic increase in workload experienced by academic staff before, during and after the Covid</w:t>
      </w:r>
      <w:r w:rsidR="006E5233">
        <w:rPr>
          <w:rFonts w:ascii="Verdana" w:hAnsi="Verdana"/>
          <w:color w:val="000000" w:themeColor="text1"/>
        </w:rPr>
        <w:t>-19</w:t>
      </w:r>
      <w:r>
        <w:rPr>
          <w:rFonts w:ascii="Verdana" w:hAnsi="Verdana"/>
          <w:color w:val="000000" w:themeColor="text1"/>
        </w:rPr>
        <w:t xml:space="preserve"> pandemic was highlighted by our focus group participants as affecting EDI work, with ‘insufficient time to fully engage’ with this work and an acknowledgement that this work itself </w:t>
      </w:r>
      <w:r w:rsidR="00F9213E" w:rsidRPr="001927CF">
        <w:rPr>
          <w:rFonts w:ascii="Verdana" w:hAnsi="Verdana"/>
          <w:color w:val="000000" w:themeColor="text1"/>
        </w:rPr>
        <w:t xml:space="preserve">had ‘major workload implications’. There were also concerns about EDI work being </w:t>
      </w:r>
      <w:r w:rsidR="00F9213E">
        <w:rPr>
          <w:rFonts w:ascii="Verdana" w:hAnsi="Verdana"/>
          <w:color w:val="000000" w:themeColor="text1"/>
        </w:rPr>
        <w:t>imposed</w:t>
      </w:r>
      <w:r w:rsidR="00F9213E" w:rsidRPr="001927CF">
        <w:rPr>
          <w:rFonts w:ascii="Verdana" w:hAnsi="Verdana"/>
          <w:color w:val="000000" w:themeColor="text1"/>
        </w:rPr>
        <w:t xml:space="preserve"> on a small group of colleagues </w:t>
      </w:r>
      <w:r w:rsidR="00F9213E">
        <w:rPr>
          <w:rFonts w:ascii="Verdana" w:hAnsi="Verdana"/>
          <w:color w:val="000000" w:themeColor="text1"/>
        </w:rPr>
        <w:t>that</w:t>
      </w:r>
      <w:r w:rsidR="00F9213E" w:rsidRPr="001927CF">
        <w:rPr>
          <w:rFonts w:ascii="Verdana" w:hAnsi="Verdana"/>
          <w:color w:val="000000" w:themeColor="text1"/>
        </w:rPr>
        <w:t xml:space="preserve"> created an ‘overwhelming burden’. These views echo </w:t>
      </w:r>
      <w:r w:rsidR="00F9213E">
        <w:rPr>
          <w:rFonts w:ascii="Verdana" w:hAnsi="Verdana"/>
          <w:color w:val="000000" w:themeColor="text1"/>
        </w:rPr>
        <w:t>others</w:t>
      </w:r>
      <w:r w:rsidR="00F9213E" w:rsidRPr="001927CF">
        <w:rPr>
          <w:rFonts w:ascii="Verdana" w:hAnsi="Verdana"/>
          <w:color w:val="000000" w:themeColor="text1"/>
        </w:rPr>
        <w:t xml:space="preserve"> published in recent years, </w:t>
      </w:r>
      <w:r w:rsidR="00F9213E">
        <w:rPr>
          <w:rFonts w:ascii="Verdana" w:hAnsi="Verdana"/>
          <w:color w:val="000000" w:themeColor="text1"/>
        </w:rPr>
        <w:t>such as</w:t>
      </w:r>
      <w:r w:rsidR="00F9213E" w:rsidRPr="001927CF">
        <w:rPr>
          <w:rFonts w:ascii="Verdana" w:hAnsi="Verdana"/>
          <w:color w:val="000000" w:themeColor="text1"/>
        </w:rPr>
        <w:t xml:space="preserve"> </w:t>
      </w:r>
      <w:proofErr w:type="spellStart"/>
      <w:r w:rsidR="00F9213E" w:rsidRPr="001927CF">
        <w:rPr>
          <w:rFonts w:ascii="Verdana" w:hAnsi="Verdana"/>
          <w:color w:val="000000" w:themeColor="text1"/>
        </w:rPr>
        <w:t>Manyir</w:t>
      </w:r>
      <w:proofErr w:type="spellEnd"/>
      <w:r w:rsidR="00F9213E" w:rsidRPr="001927CF">
        <w:rPr>
          <w:rFonts w:ascii="Verdana" w:hAnsi="Verdana"/>
          <w:color w:val="000000" w:themeColor="text1"/>
        </w:rPr>
        <w:t xml:space="preserve"> Grewal</w:t>
      </w:r>
      <w:r w:rsidR="00F9213E">
        <w:rPr>
          <w:rFonts w:ascii="Verdana" w:hAnsi="Verdana"/>
          <w:color w:val="000000" w:themeColor="text1"/>
        </w:rPr>
        <w:t>,</w:t>
      </w:r>
      <w:r w:rsidR="00F9213E" w:rsidRPr="001927CF">
        <w:rPr>
          <w:rFonts w:ascii="Verdana" w:hAnsi="Verdana"/>
          <w:color w:val="000000" w:themeColor="text1"/>
        </w:rPr>
        <w:t xml:space="preserve"> who emphasised that ‘Often, EDI work is led by individuals who continue to be routinely minoritized. So not only do they face multiple, intersecting oppressions, in many cases they are also required to put aside their experiences and “fix” the very injustices they suffer’.</w:t>
      </w:r>
      <w:r w:rsidR="00F9213E" w:rsidRPr="001927CF">
        <w:rPr>
          <w:rStyle w:val="FootnoteReference"/>
          <w:rFonts w:ascii="Verdana" w:hAnsi="Verdana"/>
          <w:color w:val="000000" w:themeColor="text1"/>
        </w:rPr>
        <w:footnoteReference w:id="30"/>
      </w:r>
      <w:r w:rsidR="00F9213E" w:rsidRPr="001927CF">
        <w:rPr>
          <w:rFonts w:ascii="Verdana" w:hAnsi="Verdana"/>
          <w:color w:val="000000" w:themeColor="text1"/>
        </w:rPr>
        <w:t xml:space="preserve">  Sara Ahmed also noted that ‘When women of colour enter the institutions of whiteness, we become symbols of diversity. And we have to</w:t>
      </w:r>
      <w:r w:rsidR="00F9213E">
        <w:rPr>
          <w:rFonts w:ascii="Verdana" w:hAnsi="Verdana"/>
          <w:color w:val="4472C4" w:themeColor="accent1"/>
        </w:rPr>
        <w:t xml:space="preserve"> </w:t>
      </w:r>
      <w:r w:rsidR="00F9213E" w:rsidRPr="006D6B5A">
        <w:rPr>
          <w:rFonts w:ascii="Verdana" w:hAnsi="Verdana"/>
          <w:color w:val="000000" w:themeColor="text1"/>
        </w:rPr>
        <w:t xml:space="preserve">do </w:t>
      </w:r>
      <w:r w:rsidR="00F9213E" w:rsidRPr="001927CF">
        <w:rPr>
          <w:rFonts w:ascii="Verdana" w:hAnsi="Verdana"/>
          <w:color w:val="000000" w:themeColor="text1"/>
        </w:rPr>
        <w:t>diversity as well as be diversity’.</w:t>
      </w:r>
      <w:r w:rsidR="00F9213E" w:rsidRPr="001927CF">
        <w:rPr>
          <w:rStyle w:val="FootnoteReference"/>
          <w:rFonts w:ascii="Verdana" w:hAnsi="Verdana"/>
          <w:color w:val="000000" w:themeColor="text1"/>
        </w:rPr>
        <w:footnoteReference w:id="31"/>
      </w:r>
      <w:r w:rsidR="00F9213E" w:rsidRPr="001927CF">
        <w:rPr>
          <w:rFonts w:ascii="Verdana" w:hAnsi="Verdana"/>
          <w:color w:val="000000" w:themeColor="text1"/>
        </w:rPr>
        <w:t xml:space="preserve"> </w:t>
      </w:r>
    </w:p>
    <w:p w14:paraId="2B5FFB46" w14:textId="77777777" w:rsidR="00DC75EF" w:rsidRDefault="00DC75EF" w:rsidP="00F9213E">
      <w:pPr>
        <w:spacing w:line="276" w:lineRule="auto"/>
        <w:rPr>
          <w:rFonts w:ascii="Verdana" w:hAnsi="Verdana"/>
          <w:color w:val="000000" w:themeColor="text1"/>
        </w:rPr>
      </w:pPr>
    </w:p>
    <w:p w14:paraId="31519F59" w14:textId="47177FD6" w:rsidR="00714747" w:rsidRDefault="00F9213E" w:rsidP="0B4088E5">
      <w:pPr>
        <w:spacing w:line="276" w:lineRule="auto"/>
        <w:rPr>
          <w:rFonts w:ascii="Verdana" w:hAnsi="Verdana"/>
          <w:color w:val="000000" w:themeColor="text1"/>
        </w:rPr>
      </w:pPr>
      <w:r w:rsidRPr="0B4088E5">
        <w:rPr>
          <w:rFonts w:ascii="Verdana" w:hAnsi="Verdana"/>
          <w:color w:val="000000" w:themeColor="text1"/>
        </w:rPr>
        <w:t xml:space="preserve">Participants recommended dedicated time for EDI to be included in workloads to enable colleagues to undertake this work in a meaningful way but that workload itself needed addressing as an EDI issue. Leadership </w:t>
      </w:r>
      <w:r>
        <w:rPr>
          <w:rFonts w:ascii="Verdana" w:hAnsi="Verdana"/>
          <w:color w:val="000000" w:themeColor="text1"/>
        </w:rPr>
        <w:t>was</w:t>
      </w:r>
      <w:r w:rsidRPr="0B4088E5">
        <w:rPr>
          <w:rFonts w:ascii="Verdana" w:hAnsi="Verdana"/>
          <w:color w:val="000000" w:themeColor="text1"/>
        </w:rPr>
        <w:t xml:space="preserve"> paramount</w:t>
      </w:r>
      <w:r>
        <w:rPr>
          <w:rFonts w:ascii="Verdana" w:hAnsi="Verdana"/>
          <w:color w:val="000000" w:themeColor="text1"/>
        </w:rPr>
        <w:t xml:space="preserve"> in mitigating the impact of these roles.</w:t>
      </w:r>
      <w:r w:rsidRPr="0B4088E5">
        <w:rPr>
          <w:rFonts w:ascii="Verdana" w:hAnsi="Verdana"/>
          <w:color w:val="000000" w:themeColor="text1"/>
        </w:rPr>
        <w:t xml:space="preserve"> </w:t>
      </w:r>
      <w:r>
        <w:rPr>
          <w:rFonts w:ascii="Verdana" w:hAnsi="Verdana"/>
          <w:color w:val="000000" w:themeColor="text1"/>
        </w:rPr>
        <w:t>S</w:t>
      </w:r>
      <w:r w:rsidRPr="0B4088E5">
        <w:rPr>
          <w:rFonts w:ascii="Verdana" w:hAnsi="Verdana"/>
          <w:color w:val="000000" w:themeColor="text1"/>
        </w:rPr>
        <w:t>ome participants outlin</w:t>
      </w:r>
      <w:r>
        <w:rPr>
          <w:rFonts w:ascii="Verdana" w:hAnsi="Verdana"/>
          <w:color w:val="000000" w:themeColor="text1"/>
        </w:rPr>
        <w:t>ed</w:t>
      </w:r>
      <w:r w:rsidRPr="0B4088E5">
        <w:rPr>
          <w:rFonts w:ascii="Verdana" w:hAnsi="Verdana"/>
          <w:color w:val="000000" w:themeColor="text1"/>
        </w:rPr>
        <w:t xml:space="preserve"> how their Heads of Department had ensured some workload allocation for colleagues redesigning modules as part of wider de-colonising the curriculum initiatives. The significance of dedicated time being allocated for EDI work was further highlighted where it was non-existent and a decolonizing the curriculum working group had disbanded due to staff exhaustion. </w:t>
      </w:r>
      <w:r>
        <w:rPr>
          <w:rFonts w:ascii="Verdana" w:hAnsi="Verdana"/>
          <w:color w:val="000000" w:themeColor="text1"/>
        </w:rPr>
        <w:t>As</w:t>
      </w:r>
      <w:r w:rsidRPr="0B4088E5">
        <w:rPr>
          <w:rFonts w:ascii="Verdana" w:hAnsi="Verdana"/>
          <w:color w:val="000000" w:themeColor="text1"/>
        </w:rPr>
        <w:t xml:space="preserve"> a recent </w:t>
      </w:r>
      <w:proofErr w:type="spellStart"/>
      <w:r w:rsidRPr="0B4088E5">
        <w:rPr>
          <w:rFonts w:ascii="Verdana" w:hAnsi="Verdana"/>
          <w:color w:val="000000" w:themeColor="text1"/>
        </w:rPr>
        <w:t>W</w:t>
      </w:r>
      <w:r w:rsidR="00336133">
        <w:rPr>
          <w:rFonts w:ascii="Verdana" w:hAnsi="Verdana"/>
          <w:color w:val="000000" w:themeColor="text1"/>
        </w:rPr>
        <w:t>onkhe</w:t>
      </w:r>
      <w:proofErr w:type="spellEnd"/>
      <w:r w:rsidRPr="0B4088E5">
        <w:rPr>
          <w:rFonts w:ascii="Verdana" w:hAnsi="Verdana"/>
          <w:color w:val="000000" w:themeColor="text1"/>
        </w:rPr>
        <w:t xml:space="preserve"> reported stressed</w:t>
      </w:r>
      <w:r>
        <w:rPr>
          <w:rFonts w:ascii="Verdana" w:hAnsi="Verdana"/>
          <w:color w:val="000000" w:themeColor="text1"/>
        </w:rPr>
        <w:t>,</w:t>
      </w:r>
      <w:r w:rsidRPr="0B4088E5">
        <w:rPr>
          <w:rFonts w:ascii="Verdana" w:hAnsi="Verdana"/>
          <w:color w:val="000000" w:themeColor="text1"/>
        </w:rPr>
        <w:t xml:space="preserve"> </w:t>
      </w:r>
      <w:hyperlink r:id="rId16">
        <w:r w:rsidRPr="0B4088E5">
          <w:rPr>
            <w:rStyle w:val="Hyperlink"/>
            <w:rFonts w:ascii="Verdana" w:hAnsi="Verdana"/>
          </w:rPr>
          <w:t>‘Integrating equality, diversity and inclusion throughout education is a challenge we all share’</w:t>
        </w:r>
      </w:hyperlink>
      <w:r w:rsidRPr="0B4088E5">
        <w:rPr>
          <w:rFonts w:ascii="Verdana" w:hAnsi="Verdana"/>
          <w:color w:val="000000" w:themeColor="text1"/>
        </w:rPr>
        <w:t xml:space="preserve">. </w:t>
      </w:r>
    </w:p>
    <w:p w14:paraId="5596806D" w14:textId="77777777" w:rsidR="004C6C3B" w:rsidRDefault="004C6C3B" w:rsidP="0B4088E5">
      <w:pPr>
        <w:spacing w:line="276" w:lineRule="auto"/>
        <w:rPr>
          <w:rFonts w:ascii="Verdana" w:hAnsi="Verdana"/>
          <w:color w:val="000000" w:themeColor="text1"/>
        </w:rPr>
      </w:pPr>
    </w:p>
    <w:p w14:paraId="1B9553C1" w14:textId="77777777" w:rsidR="004C6C3B" w:rsidRPr="00DC7DB4" w:rsidRDefault="004C6C3B" w:rsidP="0B4088E5">
      <w:pPr>
        <w:spacing w:line="276" w:lineRule="auto"/>
        <w:rPr>
          <w:rFonts w:ascii="Verdana" w:hAnsi="Verdana"/>
          <w:color w:val="000000" w:themeColor="text1"/>
        </w:rPr>
      </w:pPr>
    </w:p>
    <w:p w14:paraId="5A01A885" w14:textId="7D25343F" w:rsidR="00AF61D0" w:rsidRPr="006A7686" w:rsidRDefault="1883ADD4" w:rsidP="00061DE5">
      <w:pPr>
        <w:pStyle w:val="Heading1"/>
      </w:pPr>
      <w:r w:rsidRPr="00CF72D0">
        <w:t>D</w:t>
      </w:r>
      <w:r w:rsidR="00CF72D0" w:rsidRPr="00CF72D0">
        <w:t>isability</w:t>
      </w:r>
      <w:r w:rsidR="001123B6">
        <w:rPr>
          <w:rStyle w:val="FootnoteReference"/>
          <w:rFonts w:ascii="Verdana" w:hAnsi="Verdana"/>
          <w:b/>
          <w:bCs/>
        </w:rPr>
        <w:footnoteReference w:id="32"/>
      </w:r>
    </w:p>
    <w:p w14:paraId="39BF3A5A" w14:textId="2DF35F8A" w:rsidR="00BE3DBB" w:rsidRDefault="1883ADD4" w:rsidP="0B4088E5">
      <w:pPr>
        <w:tabs>
          <w:tab w:val="left" w:pos="1574"/>
        </w:tabs>
        <w:spacing w:line="276" w:lineRule="auto"/>
        <w:rPr>
          <w:rFonts w:ascii="Verdana" w:hAnsi="Verdana"/>
        </w:rPr>
      </w:pPr>
      <w:r w:rsidRPr="0B4088E5">
        <w:rPr>
          <w:rFonts w:ascii="Verdana" w:hAnsi="Verdana"/>
        </w:rPr>
        <w:t xml:space="preserve">According to a 2020 </w:t>
      </w:r>
      <w:hyperlink r:id="rId17">
        <w:proofErr w:type="spellStart"/>
        <w:r w:rsidRPr="0B4088E5">
          <w:rPr>
            <w:rStyle w:val="Hyperlink"/>
            <w:rFonts w:ascii="Verdana" w:hAnsi="Verdana"/>
          </w:rPr>
          <w:t>OfS</w:t>
        </w:r>
        <w:proofErr w:type="spellEnd"/>
        <w:r w:rsidRPr="0B4088E5">
          <w:rPr>
            <w:rStyle w:val="Hyperlink"/>
            <w:rFonts w:ascii="Verdana" w:hAnsi="Verdana"/>
          </w:rPr>
          <w:t xml:space="preserve"> report</w:t>
        </w:r>
      </w:hyperlink>
      <w:r w:rsidRPr="0B4088E5">
        <w:rPr>
          <w:rFonts w:ascii="Verdana" w:hAnsi="Verdana"/>
        </w:rPr>
        <w:t>, the proportion of students who self-report a disability or disclose having a mental health condition is rising. The</w:t>
      </w:r>
      <w:r w:rsidR="00AF3DF9">
        <w:rPr>
          <w:rFonts w:ascii="Verdana" w:hAnsi="Verdana"/>
        </w:rPr>
        <w:t>ir</w:t>
      </w:r>
      <w:r w:rsidRPr="0B4088E5">
        <w:rPr>
          <w:rFonts w:ascii="Verdana" w:hAnsi="Verdana"/>
        </w:rPr>
        <w:t xml:space="preserve"> evidence for these groups suggests relatively lower retention rates, lower awarding gaps and lower levels of progression into highly skilled employment or postgraduate study. </w:t>
      </w:r>
      <w:r w:rsidR="003A4DE9">
        <w:rPr>
          <w:rFonts w:ascii="Verdana" w:hAnsi="Verdana"/>
        </w:rPr>
        <w:t xml:space="preserve">Kevin </w:t>
      </w:r>
      <w:r w:rsidR="007C07D1" w:rsidRPr="007C07D1">
        <w:rPr>
          <w:rFonts w:ascii="Verdana" w:hAnsi="Verdana"/>
        </w:rPr>
        <w:t xml:space="preserve">Johnson and </w:t>
      </w:r>
      <w:proofErr w:type="spellStart"/>
      <w:r w:rsidR="003A4DE9">
        <w:rPr>
          <w:rFonts w:ascii="Verdana" w:hAnsi="Verdana"/>
        </w:rPr>
        <w:t>Tema</w:t>
      </w:r>
      <w:proofErr w:type="spellEnd"/>
      <w:r w:rsidR="003A4DE9">
        <w:rPr>
          <w:rFonts w:ascii="Verdana" w:hAnsi="Verdana"/>
        </w:rPr>
        <w:t xml:space="preserve"> </w:t>
      </w:r>
      <w:r w:rsidR="007C07D1" w:rsidRPr="007C07D1">
        <w:rPr>
          <w:rFonts w:ascii="Verdana" w:hAnsi="Verdana"/>
        </w:rPr>
        <w:t>George note that the proportion of students with disabilities in FE and HE had increased by 60% in recent years but that these students were less likely to be awarded a 2:1 degree or above.</w:t>
      </w:r>
      <w:r w:rsidR="007C07D1">
        <w:rPr>
          <w:rStyle w:val="FootnoteReference"/>
          <w:rFonts w:ascii="Verdana" w:hAnsi="Verdana"/>
        </w:rPr>
        <w:footnoteReference w:id="33"/>
      </w:r>
      <w:r w:rsidR="007C07D1" w:rsidRPr="007C07D1">
        <w:rPr>
          <w:rFonts w:ascii="Verdana" w:hAnsi="Verdana"/>
        </w:rPr>
        <w:t xml:space="preserve"> They were also more likely both to perceive their courses as low quality and to have a lower rate of employability than people without disabilities. </w:t>
      </w:r>
      <w:r w:rsidRPr="0B4088E5">
        <w:rPr>
          <w:rFonts w:ascii="Verdana" w:hAnsi="Verdana"/>
        </w:rPr>
        <w:t xml:space="preserve">The </w:t>
      </w:r>
      <w:proofErr w:type="spellStart"/>
      <w:r w:rsidRPr="0B4088E5">
        <w:rPr>
          <w:rFonts w:ascii="Verdana" w:hAnsi="Verdana"/>
        </w:rPr>
        <w:t>OfS</w:t>
      </w:r>
      <w:proofErr w:type="spellEnd"/>
      <w:r w:rsidRPr="0B4088E5">
        <w:rPr>
          <w:rFonts w:ascii="Verdana" w:hAnsi="Verdana"/>
        </w:rPr>
        <w:t xml:space="preserve"> report made a number of recommendations </w:t>
      </w:r>
      <w:r w:rsidR="00D72868">
        <w:rPr>
          <w:rFonts w:ascii="Verdana" w:hAnsi="Verdana"/>
        </w:rPr>
        <w:t xml:space="preserve">to obviate these effects, </w:t>
      </w:r>
      <w:r w:rsidRPr="0B4088E5">
        <w:rPr>
          <w:rFonts w:ascii="Verdana" w:hAnsi="Verdana"/>
        </w:rPr>
        <w:t>including the collection of disaggregated data, introducing a range of inclusive approaches and practices, and listening to and engaging with disabled students.</w:t>
      </w:r>
      <w:r w:rsidR="002E1D82" w:rsidRPr="0B4088E5">
        <w:rPr>
          <w:rStyle w:val="FootnoteReference"/>
          <w:rFonts w:ascii="Verdana" w:hAnsi="Verdana"/>
        </w:rPr>
        <w:footnoteReference w:id="34"/>
      </w:r>
      <w:r w:rsidRPr="0B4088E5">
        <w:rPr>
          <w:rFonts w:ascii="Verdana" w:hAnsi="Verdana"/>
        </w:rPr>
        <w:t xml:space="preserve"> </w:t>
      </w:r>
      <w:r w:rsidR="00D72868">
        <w:rPr>
          <w:rFonts w:ascii="Verdana" w:hAnsi="Verdana"/>
        </w:rPr>
        <w:t>However, the ongoing impact of t</w:t>
      </w:r>
      <w:r w:rsidRPr="0B4088E5">
        <w:rPr>
          <w:rFonts w:ascii="Verdana" w:hAnsi="Verdana"/>
        </w:rPr>
        <w:t xml:space="preserve">he pandemic </w:t>
      </w:r>
      <w:r w:rsidR="00D72868">
        <w:rPr>
          <w:rFonts w:ascii="Verdana" w:hAnsi="Verdana"/>
        </w:rPr>
        <w:t xml:space="preserve">has </w:t>
      </w:r>
      <w:r w:rsidRPr="0B4088E5">
        <w:rPr>
          <w:rFonts w:ascii="Verdana" w:hAnsi="Verdana"/>
        </w:rPr>
        <w:t xml:space="preserve">exacerbated the situation, with the </w:t>
      </w:r>
      <w:hyperlink r:id="rId18">
        <w:r w:rsidRPr="0B4088E5">
          <w:rPr>
            <w:rStyle w:val="Hyperlink"/>
            <w:rFonts w:ascii="Verdana" w:hAnsi="Verdana"/>
          </w:rPr>
          <w:t>Disabled Students’ Commission</w:t>
        </w:r>
      </w:hyperlink>
      <w:r w:rsidRPr="0B4088E5">
        <w:rPr>
          <w:rFonts w:ascii="Verdana" w:hAnsi="Verdana"/>
        </w:rPr>
        <w:t xml:space="preserve"> noting that ‘disabled students already face significant challenges during their higher education’ and that ‘the challenges of the pandemic were even more pronounced for disabled students’. Their report emphasise</w:t>
      </w:r>
      <w:r w:rsidR="00D72868">
        <w:rPr>
          <w:rFonts w:ascii="Verdana" w:hAnsi="Verdana"/>
        </w:rPr>
        <w:t>d</w:t>
      </w:r>
      <w:r w:rsidRPr="0B4088E5">
        <w:rPr>
          <w:rFonts w:ascii="Verdana" w:hAnsi="Verdana"/>
        </w:rPr>
        <w:t xml:space="preserve"> that they will ‘challenge, inform and advise the higher education sector to accelerate the pace of change regarding support for disabled students, and will influence higher education sector agencies and institutions to remove barriers to learning’. </w:t>
      </w:r>
      <w:r w:rsidR="00D72868">
        <w:rPr>
          <w:rFonts w:ascii="Verdana" w:hAnsi="Verdana"/>
        </w:rPr>
        <w:t>They highlighted the need to develop policy through consultation with disabled students and showed that the pandemic had variable impacts on disabled students, demonstrat</w:t>
      </w:r>
      <w:r w:rsidR="004C6C3B">
        <w:rPr>
          <w:rFonts w:ascii="Verdana" w:hAnsi="Verdana"/>
        </w:rPr>
        <w:t>ing</w:t>
      </w:r>
      <w:r w:rsidR="00D72868">
        <w:rPr>
          <w:rFonts w:ascii="Verdana" w:hAnsi="Verdana"/>
        </w:rPr>
        <w:t xml:space="preserve"> the need for flexible intersectional policies</w:t>
      </w:r>
      <w:r w:rsidRPr="0B4088E5">
        <w:rPr>
          <w:rFonts w:ascii="Verdana" w:hAnsi="Verdana"/>
        </w:rPr>
        <w:t>.</w:t>
      </w:r>
      <w:r w:rsidR="002E1D82" w:rsidRPr="0B4088E5">
        <w:rPr>
          <w:rStyle w:val="FootnoteReference"/>
          <w:rFonts w:ascii="Verdana" w:hAnsi="Verdana"/>
        </w:rPr>
        <w:footnoteReference w:id="35"/>
      </w:r>
      <w:r w:rsidRPr="0B4088E5">
        <w:rPr>
          <w:rFonts w:ascii="Verdana" w:hAnsi="Verdana"/>
        </w:rPr>
        <w:t xml:space="preserve"> Evidence also suggests that in </w:t>
      </w:r>
      <w:r w:rsidRPr="0B4088E5">
        <w:rPr>
          <w:rFonts w:ascii="Verdana" w:hAnsi="Verdana"/>
        </w:rPr>
        <w:lastRenderedPageBreak/>
        <w:t>spite of legal requirements of reasonable adjustments and support we still ‘lack evidence on what works for closing disabled students’ equality gaps’.</w:t>
      </w:r>
      <w:r w:rsidR="002E1D82" w:rsidRPr="0B4088E5">
        <w:rPr>
          <w:rStyle w:val="FootnoteReference"/>
          <w:rFonts w:ascii="Verdana" w:hAnsi="Verdana"/>
        </w:rPr>
        <w:footnoteReference w:id="36"/>
      </w:r>
      <w:r w:rsidRPr="0B4088E5">
        <w:rPr>
          <w:rFonts w:ascii="Verdana" w:hAnsi="Verdana"/>
        </w:rPr>
        <w:t xml:space="preserve"> </w:t>
      </w:r>
      <w:r w:rsidR="00D72868">
        <w:rPr>
          <w:rFonts w:ascii="Verdana" w:hAnsi="Verdana"/>
        </w:rPr>
        <w:t xml:space="preserve">This may be especially true at postgraduate level, as it has recently been shown that 66% of </w:t>
      </w:r>
      <w:r w:rsidR="00103DEB">
        <w:rPr>
          <w:rFonts w:ascii="Verdana" w:hAnsi="Verdana"/>
        </w:rPr>
        <w:t xml:space="preserve">disabled </w:t>
      </w:r>
      <w:r w:rsidR="00D72868">
        <w:rPr>
          <w:rFonts w:ascii="Verdana" w:hAnsi="Verdana"/>
        </w:rPr>
        <w:t>STEM PhD students do not receive enough support to put them ‘on an equal footing with their non-disabled peers’.</w:t>
      </w:r>
      <w:r w:rsidR="00D72868">
        <w:rPr>
          <w:rStyle w:val="FootnoteReference"/>
          <w:rFonts w:ascii="Verdana" w:hAnsi="Verdana"/>
        </w:rPr>
        <w:footnoteReference w:id="37"/>
      </w:r>
    </w:p>
    <w:p w14:paraId="7F2D2F92" w14:textId="77777777" w:rsidR="004439CD" w:rsidRDefault="004439CD" w:rsidP="0B4088E5">
      <w:pPr>
        <w:tabs>
          <w:tab w:val="left" w:pos="1574"/>
        </w:tabs>
        <w:spacing w:line="276" w:lineRule="auto"/>
        <w:rPr>
          <w:rFonts w:ascii="Verdana" w:hAnsi="Verdana"/>
        </w:rPr>
      </w:pPr>
    </w:p>
    <w:p w14:paraId="3D9100CA" w14:textId="40FA2551" w:rsidR="004439CD" w:rsidRDefault="007B1B0A" w:rsidP="004439CD">
      <w:pPr>
        <w:tabs>
          <w:tab w:val="left" w:pos="1574"/>
        </w:tabs>
        <w:spacing w:line="276" w:lineRule="auto"/>
        <w:rPr>
          <w:rFonts w:ascii="Verdana" w:hAnsi="Verdana"/>
        </w:rPr>
      </w:pPr>
      <w:r>
        <w:rPr>
          <w:rFonts w:ascii="Verdana" w:hAnsi="Verdana"/>
        </w:rPr>
        <w:t xml:space="preserve">However, it can be difficult for disabled students to reach the point of PhD study. In 2018, </w:t>
      </w:r>
      <w:r w:rsidR="004439CD" w:rsidRPr="004439CD">
        <w:rPr>
          <w:rFonts w:ascii="Verdana" w:hAnsi="Verdana"/>
          <w:i/>
          <w:iCs/>
        </w:rPr>
        <w:t>Disability and Society</w:t>
      </w:r>
      <w:r w:rsidR="004439CD" w:rsidRPr="004439CD">
        <w:rPr>
          <w:rFonts w:ascii="Verdana" w:hAnsi="Verdana"/>
        </w:rPr>
        <w:t xml:space="preserve"> de</w:t>
      </w:r>
      <w:r>
        <w:rPr>
          <w:rFonts w:ascii="Verdana" w:hAnsi="Verdana"/>
        </w:rPr>
        <w:t>termined</w:t>
      </w:r>
      <w:r w:rsidR="004439CD" w:rsidRPr="004439CD">
        <w:rPr>
          <w:rFonts w:ascii="Verdana" w:hAnsi="Verdana"/>
        </w:rPr>
        <w:t xml:space="preserve"> that disabled students have worse post-degree outcomes, worse drop-out rates, and are less likely to do postgraduate study compared to their non-disabled peers.</w:t>
      </w:r>
      <w:r w:rsidR="004439CD" w:rsidRPr="004439CD">
        <w:rPr>
          <w:rFonts w:ascii="Verdana" w:hAnsi="Verdana"/>
          <w:vertAlign w:val="superscript"/>
        </w:rPr>
        <w:footnoteReference w:id="38"/>
      </w:r>
      <w:r w:rsidR="004439CD" w:rsidRPr="004439CD">
        <w:rPr>
          <w:rFonts w:ascii="Verdana" w:hAnsi="Verdana"/>
        </w:rPr>
        <w:t xml:space="preserve"> This problem may well </w:t>
      </w:r>
      <w:r>
        <w:rPr>
          <w:rFonts w:ascii="Verdana" w:hAnsi="Verdana"/>
        </w:rPr>
        <w:t>have been</w:t>
      </w:r>
      <w:r w:rsidR="004439CD" w:rsidRPr="004439CD">
        <w:rPr>
          <w:rFonts w:ascii="Verdana" w:hAnsi="Verdana"/>
        </w:rPr>
        <w:t xml:space="preserve"> exacerbated because of the recent </w:t>
      </w:r>
      <w:r>
        <w:rPr>
          <w:rFonts w:ascii="Verdana" w:hAnsi="Verdana"/>
        </w:rPr>
        <w:t>changes</w:t>
      </w:r>
      <w:r w:rsidR="004439CD" w:rsidRPr="004439CD">
        <w:rPr>
          <w:rFonts w:ascii="Verdana" w:hAnsi="Verdana"/>
        </w:rPr>
        <w:t xml:space="preserve"> to the Disabled Student Allowance,</w:t>
      </w:r>
      <w:r>
        <w:rPr>
          <w:rFonts w:ascii="Verdana" w:hAnsi="Verdana"/>
        </w:rPr>
        <w:t xml:space="preserve"> which has made funding access less clear, especially for postgraduate students.</w:t>
      </w:r>
      <w:r w:rsidR="00EB025B">
        <w:rPr>
          <w:rStyle w:val="FootnoteReference"/>
          <w:rFonts w:ascii="Verdana" w:hAnsi="Verdana"/>
        </w:rPr>
        <w:footnoteReference w:id="39"/>
      </w:r>
      <w:r>
        <w:rPr>
          <w:rFonts w:ascii="Verdana" w:hAnsi="Verdana"/>
        </w:rPr>
        <w:t xml:space="preserve"> I</w:t>
      </w:r>
      <w:r w:rsidR="004439CD" w:rsidRPr="004439CD">
        <w:rPr>
          <w:rFonts w:ascii="Verdana" w:hAnsi="Verdana"/>
        </w:rPr>
        <w:t>t is clear that ‘there is a potential gap in current research for specifically classroom-based experiences of disabled students’.</w:t>
      </w:r>
      <w:r w:rsidR="004439CD" w:rsidRPr="004439CD">
        <w:rPr>
          <w:rFonts w:ascii="Verdana" w:hAnsi="Verdana"/>
          <w:vertAlign w:val="superscript"/>
        </w:rPr>
        <w:footnoteReference w:id="40"/>
      </w:r>
      <w:r w:rsidR="004439CD" w:rsidRPr="004439CD">
        <w:rPr>
          <w:rFonts w:ascii="Verdana" w:hAnsi="Verdana"/>
        </w:rPr>
        <w:t xml:space="preserve"> This gap widens to a chasm when it comes to evidence for best practices for teaching on neurodivergent students. Yet there are an increasing number of neurodivergent students entering higher education.</w:t>
      </w:r>
      <w:r w:rsidR="004439CD" w:rsidRPr="004439CD">
        <w:rPr>
          <w:rFonts w:ascii="Verdana" w:hAnsi="Verdana"/>
          <w:vertAlign w:val="superscript"/>
        </w:rPr>
        <w:footnoteReference w:id="41"/>
      </w:r>
      <w:r w:rsidR="004439CD" w:rsidRPr="004439CD">
        <w:rPr>
          <w:rFonts w:ascii="Verdana" w:hAnsi="Verdana"/>
        </w:rPr>
        <w:t xml:space="preserve"> Problems with obtaining accurate data abound because many students will not disclose a disability if they perceive it as stigmatising and if they have made it to university, they may have developed strategies that allow them to ‘pass’ as neurotypical.</w:t>
      </w:r>
      <w:r w:rsidR="004439CD" w:rsidRPr="004439CD">
        <w:rPr>
          <w:rFonts w:ascii="Verdana" w:hAnsi="Verdana"/>
          <w:vertAlign w:val="superscript"/>
        </w:rPr>
        <w:footnoteReference w:id="42"/>
      </w:r>
      <w:r>
        <w:rPr>
          <w:rFonts w:ascii="Verdana" w:hAnsi="Verdana"/>
        </w:rPr>
        <w:t xml:space="preserve"> This means that accessibility must be embedded at a structural level, creating a supportive framework that can be further modified at the individual level on a case by case basis. </w:t>
      </w:r>
    </w:p>
    <w:p w14:paraId="006775D2" w14:textId="77777777" w:rsidR="00066827" w:rsidRPr="004439CD" w:rsidRDefault="00066827" w:rsidP="004439CD">
      <w:pPr>
        <w:tabs>
          <w:tab w:val="left" w:pos="1574"/>
        </w:tabs>
        <w:spacing w:line="276" w:lineRule="auto"/>
        <w:rPr>
          <w:rFonts w:ascii="Verdana" w:hAnsi="Verdana"/>
        </w:rPr>
      </w:pPr>
    </w:p>
    <w:p w14:paraId="7ED82BA8" w14:textId="5241CA49" w:rsidR="004439CD" w:rsidRPr="00811763" w:rsidRDefault="00EB025B" w:rsidP="004439CD">
      <w:pPr>
        <w:tabs>
          <w:tab w:val="left" w:pos="1574"/>
        </w:tabs>
        <w:spacing w:line="276" w:lineRule="auto"/>
        <w:rPr>
          <w:rFonts w:ascii="Verdana" w:hAnsi="Verdana"/>
        </w:rPr>
      </w:pPr>
      <w:r>
        <w:rPr>
          <w:rFonts w:ascii="Verdana" w:hAnsi="Verdana"/>
        </w:rPr>
        <w:lastRenderedPageBreak/>
        <w:t>Alongside such anticipatory universal design, i</w:t>
      </w:r>
      <w:r w:rsidR="004439CD" w:rsidRPr="004439CD">
        <w:rPr>
          <w:rFonts w:ascii="Verdana" w:hAnsi="Verdana"/>
        </w:rPr>
        <w:t xml:space="preserve">ndividual accommodations communicated from Disability Services are obviously important and need to considered using standard procedures. However, there are huge difficulties in gaining these diagnoses, especially for students from working class backgrounds. In addition, the learning resources available to students with diagnoses are often focused on school-age children rather than those in higher education and tend to assume low levels of </w:t>
      </w:r>
      <w:r w:rsidR="004439CD" w:rsidRPr="00811763">
        <w:rPr>
          <w:rFonts w:ascii="Verdana" w:hAnsi="Verdana"/>
        </w:rPr>
        <w:t>academic performance. This means that university learning centres can focus too much on issues like spelling and do not aid students in developing subject specific skills.</w:t>
      </w:r>
      <w:r w:rsidR="004439CD" w:rsidRPr="00811763">
        <w:rPr>
          <w:rFonts w:ascii="Verdana" w:hAnsi="Verdana"/>
          <w:vertAlign w:val="superscript"/>
        </w:rPr>
        <w:footnoteReference w:id="43"/>
      </w:r>
      <w:r w:rsidR="004439CD" w:rsidRPr="00811763">
        <w:rPr>
          <w:rFonts w:ascii="Verdana" w:hAnsi="Verdana"/>
        </w:rPr>
        <w:t xml:space="preserve"> For example, advice to avoid figurative or metaphorical language is hardly possible for those studying or teaching English (or History).</w:t>
      </w:r>
      <w:r w:rsidR="004439CD" w:rsidRPr="00811763">
        <w:rPr>
          <w:rFonts w:ascii="Verdana" w:hAnsi="Verdana"/>
          <w:vertAlign w:val="superscript"/>
        </w:rPr>
        <w:footnoteReference w:id="44"/>
      </w:r>
      <w:r w:rsidR="004439CD" w:rsidRPr="00811763">
        <w:rPr>
          <w:rFonts w:ascii="Verdana" w:hAnsi="Verdana"/>
        </w:rPr>
        <w:t xml:space="preserve"> </w:t>
      </w:r>
    </w:p>
    <w:p w14:paraId="42165596" w14:textId="0A82B088" w:rsidR="00AF61D0" w:rsidRPr="00811763" w:rsidRDefault="00AF61D0" w:rsidP="0B4088E5">
      <w:pPr>
        <w:spacing w:line="276" w:lineRule="auto"/>
        <w:rPr>
          <w:rFonts w:ascii="Verdana" w:hAnsi="Verdana"/>
          <w:color w:val="FF0000"/>
        </w:rPr>
      </w:pPr>
    </w:p>
    <w:p w14:paraId="222D1072" w14:textId="0AEB6D98" w:rsidR="00DC7DB4" w:rsidRDefault="007344BF" w:rsidP="0B4088E5">
      <w:pPr>
        <w:spacing w:line="276" w:lineRule="auto"/>
        <w:rPr>
          <w:rFonts w:ascii="Verdana" w:hAnsi="Verdana"/>
        </w:rPr>
      </w:pPr>
      <w:r w:rsidRPr="00811763">
        <w:rPr>
          <w:rFonts w:ascii="Verdana" w:hAnsi="Verdana"/>
        </w:rPr>
        <w:t xml:space="preserve">In addition to legal protection and reasonable adjustments, </w:t>
      </w:r>
      <w:r w:rsidR="00A61502" w:rsidRPr="00811763">
        <w:rPr>
          <w:rFonts w:ascii="Verdana" w:hAnsi="Verdana"/>
        </w:rPr>
        <w:t>Johnson and George</w:t>
      </w:r>
      <w:r w:rsidRPr="00811763">
        <w:rPr>
          <w:rFonts w:ascii="Verdana" w:hAnsi="Verdana"/>
        </w:rPr>
        <w:t xml:space="preserve"> argue that a diverse range of teaching strategies can enable a more inclusive learning environment. They make a series of recommendations for using a combination of written, audio and visual materials, for making teaching adjustments and for institutional-wide changes.</w:t>
      </w:r>
      <w:r w:rsidRPr="00811763">
        <w:rPr>
          <w:rStyle w:val="FootnoteReference"/>
          <w:rFonts w:ascii="Verdana" w:hAnsi="Verdana"/>
        </w:rPr>
        <w:footnoteReference w:id="45"/>
      </w:r>
      <w:r w:rsidR="00C10C28" w:rsidRPr="00811763">
        <w:rPr>
          <w:rFonts w:ascii="Verdana" w:hAnsi="Verdana"/>
        </w:rPr>
        <w:t xml:space="preserve"> </w:t>
      </w:r>
      <w:r w:rsidRPr="00811763">
        <w:rPr>
          <w:rFonts w:ascii="Verdana" w:hAnsi="Verdana"/>
        </w:rPr>
        <w:t>There are excellent reasons to provide multiple ways of engaging with the source material (other than textual). For instance, ‘multi-sensory teaching techniques have been postulated as an apt way to enhance engagement and outcomes for learners with dyspraxia.’</w:t>
      </w:r>
      <w:r w:rsidRPr="00811763">
        <w:rPr>
          <w:rFonts w:ascii="Verdana" w:hAnsi="Verdana"/>
          <w:vertAlign w:val="superscript"/>
        </w:rPr>
        <w:footnoteReference w:id="46"/>
      </w:r>
      <w:r w:rsidRPr="00811763">
        <w:rPr>
          <w:rFonts w:ascii="Verdana" w:hAnsi="Verdana"/>
        </w:rPr>
        <w:t xml:space="preserve"> Similarly, it has been convincingly demonstrated that student’s attention span is predicated on just twenty minutes of sustained and productive attention.</w:t>
      </w:r>
      <w:r w:rsidRPr="00811763">
        <w:rPr>
          <w:rFonts w:ascii="Verdana" w:hAnsi="Verdana"/>
          <w:vertAlign w:val="superscript"/>
        </w:rPr>
        <w:footnoteReference w:id="47"/>
      </w:r>
      <w:r w:rsidRPr="00811763">
        <w:rPr>
          <w:rFonts w:ascii="Verdana" w:hAnsi="Verdana"/>
        </w:rPr>
        <w:t xml:space="preserve">  Splitting up lectures in twenty-minute ‘chunks’ or using ‘change-up’ breaks (which might include active learning interventions in small groups) can promote greater inclusion, attention, and constructive </w:t>
      </w:r>
      <w:r w:rsidRPr="00811763">
        <w:rPr>
          <w:rFonts w:ascii="Verdana" w:hAnsi="Verdana"/>
        </w:rPr>
        <w:lastRenderedPageBreak/>
        <w:t>alignment with learning objectives.</w:t>
      </w:r>
      <w:r w:rsidRPr="00811763">
        <w:rPr>
          <w:rFonts w:ascii="Verdana" w:hAnsi="Verdana"/>
          <w:vertAlign w:val="superscript"/>
        </w:rPr>
        <w:footnoteReference w:id="48"/>
      </w:r>
      <w:r w:rsidRPr="00811763">
        <w:rPr>
          <w:rFonts w:ascii="Verdana" w:hAnsi="Verdana"/>
        </w:rPr>
        <w:t xml:space="preserve"> Interventions aimed at enhancing concentration levels promote greater inclusion by allowing for engagement with more diverse learning styles, thus allowing all students to engage with higher-order learning processes.</w:t>
      </w:r>
    </w:p>
    <w:p w14:paraId="0098570F" w14:textId="77777777" w:rsidR="00E01A7B" w:rsidRPr="00801364" w:rsidRDefault="00E01A7B" w:rsidP="0B4088E5">
      <w:pPr>
        <w:spacing w:line="276" w:lineRule="auto"/>
        <w:rPr>
          <w:rFonts w:ascii="Verdana" w:hAnsi="Verdana"/>
        </w:rPr>
      </w:pPr>
    </w:p>
    <w:p w14:paraId="4D065B78" w14:textId="0DD96B9C" w:rsidR="00AF61D0" w:rsidRPr="006A7686" w:rsidRDefault="1BE50DFC" w:rsidP="00061DE5">
      <w:pPr>
        <w:pStyle w:val="Heading1"/>
      </w:pPr>
      <w:r w:rsidRPr="00811763">
        <w:t>Accessibility</w:t>
      </w:r>
    </w:p>
    <w:p w14:paraId="64E6DF12" w14:textId="65598C17" w:rsidR="00B3427D" w:rsidRDefault="00B3427D" w:rsidP="001927CF">
      <w:pPr>
        <w:spacing w:line="276" w:lineRule="auto"/>
        <w:rPr>
          <w:rFonts w:ascii="Verdana" w:hAnsi="Verdana"/>
          <w:color w:val="000000" w:themeColor="text1"/>
        </w:rPr>
      </w:pPr>
      <w:r w:rsidRPr="00B3427D">
        <w:rPr>
          <w:rFonts w:ascii="Verdana" w:hAnsi="Verdana"/>
          <w:color w:val="000000" w:themeColor="text1"/>
        </w:rPr>
        <w:t xml:space="preserve">Accessibility is a central facet of being inclusive but again it is an </w:t>
      </w:r>
      <w:r w:rsidRPr="00870E05">
        <w:rPr>
          <w:rFonts w:ascii="Verdana" w:hAnsi="Verdana"/>
          <w:color w:val="000000" w:themeColor="text1"/>
        </w:rPr>
        <w:t>expansive</w:t>
      </w:r>
      <w:r>
        <w:rPr>
          <w:rFonts w:ascii="Verdana" w:hAnsi="Verdana"/>
          <w:color w:val="FF0000"/>
        </w:rPr>
        <w:t xml:space="preserve"> </w:t>
      </w:r>
      <w:r w:rsidRPr="00B3427D">
        <w:rPr>
          <w:rFonts w:ascii="Verdana" w:hAnsi="Verdana"/>
          <w:color w:val="000000" w:themeColor="text1"/>
        </w:rPr>
        <w:t>term</w:t>
      </w:r>
      <w:r w:rsidR="002C112C">
        <w:rPr>
          <w:rFonts w:ascii="Verdana" w:hAnsi="Verdana"/>
          <w:color w:val="000000" w:themeColor="text1"/>
        </w:rPr>
        <w:t>.</w:t>
      </w:r>
      <w:r w:rsidR="008E4FF1">
        <w:rPr>
          <w:rFonts w:ascii="Verdana" w:hAnsi="Verdana"/>
          <w:color w:val="000000" w:themeColor="text1"/>
        </w:rPr>
        <w:t xml:space="preserve"> Participants discussed a wide range of accessibility issues. The pandemic had sought to redefine accessibility for many with a focus on digital accessibility. In addition, the move to online learning during lockdowns</w:t>
      </w:r>
      <w:r w:rsidR="00176E5E">
        <w:rPr>
          <w:rFonts w:ascii="Verdana" w:hAnsi="Verdana"/>
          <w:color w:val="000000" w:themeColor="text1"/>
        </w:rPr>
        <w:t>, which was uneven across institutions,</w:t>
      </w:r>
      <w:r w:rsidR="008E4FF1">
        <w:rPr>
          <w:rFonts w:ascii="Verdana" w:hAnsi="Verdana"/>
          <w:color w:val="000000" w:themeColor="text1"/>
        </w:rPr>
        <w:t xml:space="preserve"> raised questions about which elements of digital technology/software were most appropriate</w:t>
      </w:r>
      <w:r w:rsidR="00176E5E">
        <w:rPr>
          <w:rFonts w:ascii="Verdana" w:hAnsi="Verdana"/>
          <w:color w:val="000000" w:themeColor="text1"/>
        </w:rPr>
        <w:t>, let alone accessible,</w:t>
      </w:r>
      <w:r w:rsidR="008E4FF1">
        <w:rPr>
          <w:rFonts w:ascii="Verdana" w:hAnsi="Verdana"/>
          <w:color w:val="000000" w:themeColor="text1"/>
        </w:rPr>
        <w:t xml:space="preserve"> for specific </w:t>
      </w:r>
      <w:r w:rsidR="00176E5E">
        <w:rPr>
          <w:rFonts w:ascii="Verdana" w:hAnsi="Verdana"/>
          <w:color w:val="000000" w:themeColor="text1"/>
        </w:rPr>
        <w:t xml:space="preserve">teaching and learning </w:t>
      </w:r>
      <w:r w:rsidR="008E4FF1">
        <w:rPr>
          <w:rFonts w:ascii="Verdana" w:hAnsi="Verdana"/>
          <w:color w:val="000000" w:themeColor="text1"/>
        </w:rPr>
        <w:t>purpose</w:t>
      </w:r>
      <w:r w:rsidR="00107C2D">
        <w:rPr>
          <w:rFonts w:ascii="Verdana" w:hAnsi="Verdana"/>
          <w:color w:val="000000" w:themeColor="text1"/>
        </w:rPr>
        <w:t>s</w:t>
      </w:r>
      <w:r w:rsidR="00176E5E">
        <w:rPr>
          <w:rFonts w:ascii="Verdana" w:hAnsi="Verdana"/>
          <w:color w:val="000000" w:themeColor="text1"/>
        </w:rPr>
        <w:t xml:space="preserve">. </w:t>
      </w:r>
      <w:r w:rsidR="008E4FF1">
        <w:rPr>
          <w:rFonts w:ascii="Verdana" w:hAnsi="Verdana"/>
          <w:color w:val="000000" w:themeColor="text1"/>
        </w:rPr>
        <w:t xml:space="preserve">Some participants noted the value and importance of support from learning technology </w:t>
      </w:r>
      <w:r w:rsidR="00107C2D">
        <w:rPr>
          <w:rFonts w:ascii="Verdana" w:hAnsi="Verdana"/>
          <w:color w:val="000000" w:themeColor="text1"/>
        </w:rPr>
        <w:t>teams and</w:t>
      </w:r>
      <w:r w:rsidR="00176E5E">
        <w:rPr>
          <w:rFonts w:ascii="Verdana" w:hAnsi="Verdana"/>
          <w:color w:val="000000" w:themeColor="text1"/>
        </w:rPr>
        <w:t xml:space="preserve"> </w:t>
      </w:r>
      <w:r w:rsidR="008E4FF1">
        <w:rPr>
          <w:rFonts w:ascii="Verdana" w:hAnsi="Verdana"/>
          <w:color w:val="000000" w:themeColor="text1"/>
        </w:rPr>
        <w:t>highlight</w:t>
      </w:r>
      <w:r w:rsidR="00176E5E">
        <w:rPr>
          <w:rFonts w:ascii="Verdana" w:hAnsi="Verdana"/>
          <w:color w:val="000000" w:themeColor="text1"/>
        </w:rPr>
        <w:t>ed</w:t>
      </w:r>
      <w:r w:rsidR="008E4FF1">
        <w:rPr>
          <w:rFonts w:ascii="Verdana" w:hAnsi="Verdana"/>
          <w:color w:val="000000" w:themeColor="text1"/>
        </w:rPr>
        <w:t xml:space="preserve"> </w:t>
      </w:r>
      <w:r w:rsidR="00176E5E">
        <w:rPr>
          <w:rFonts w:ascii="Verdana" w:hAnsi="Verdana"/>
          <w:color w:val="000000" w:themeColor="text1"/>
        </w:rPr>
        <w:t xml:space="preserve">that </w:t>
      </w:r>
      <w:r w:rsidR="008E4FF1">
        <w:rPr>
          <w:rFonts w:ascii="Verdana" w:hAnsi="Verdana"/>
          <w:color w:val="000000" w:themeColor="text1"/>
        </w:rPr>
        <w:t xml:space="preserve">this had made a ‘massive difference’ during a period of ‘great uncertainty’. Moreover, the </w:t>
      </w:r>
      <w:r w:rsidR="00176E5E">
        <w:rPr>
          <w:rFonts w:ascii="Verdana" w:hAnsi="Verdana"/>
          <w:color w:val="000000" w:themeColor="text1"/>
        </w:rPr>
        <w:t>p</w:t>
      </w:r>
      <w:r w:rsidR="008E4FF1">
        <w:rPr>
          <w:rFonts w:ascii="Verdana" w:hAnsi="Verdana"/>
          <w:color w:val="000000" w:themeColor="text1"/>
        </w:rPr>
        <w:t xml:space="preserve">andemic became the impetus for more widespread use of collaborative annotation </w:t>
      </w:r>
      <w:r w:rsidR="00F45AE7">
        <w:rPr>
          <w:rFonts w:ascii="Verdana" w:hAnsi="Verdana"/>
          <w:color w:val="000000" w:themeColor="text1"/>
        </w:rPr>
        <w:t xml:space="preserve">software in some departments. </w:t>
      </w:r>
      <w:r w:rsidR="00176E5E">
        <w:rPr>
          <w:rFonts w:ascii="Verdana" w:hAnsi="Verdana"/>
          <w:color w:val="000000" w:themeColor="text1"/>
        </w:rPr>
        <w:t>That said, m</w:t>
      </w:r>
      <w:r w:rsidR="00F45AE7">
        <w:rPr>
          <w:rFonts w:ascii="Verdana" w:hAnsi="Verdana"/>
          <w:color w:val="000000" w:themeColor="text1"/>
        </w:rPr>
        <w:t xml:space="preserve">any participants said </w:t>
      </w:r>
      <w:r w:rsidR="00176E5E">
        <w:rPr>
          <w:rFonts w:ascii="Verdana" w:hAnsi="Verdana"/>
          <w:color w:val="000000" w:themeColor="text1"/>
        </w:rPr>
        <w:t xml:space="preserve">that </w:t>
      </w:r>
      <w:r w:rsidR="00F45AE7">
        <w:rPr>
          <w:rFonts w:ascii="Verdana" w:hAnsi="Verdana"/>
          <w:color w:val="000000" w:themeColor="text1"/>
        </w:rPr>
        <w:t xml:space="preserve">colleagues felt very </w:t>
      </w:r>
      <w:r w:rsidR="00176E5E">
        <w:rPr>
          <w:rFonts w:ascii="Verdana" w:hAnsi="Verdana"/>
          <w:color w:val="000000" w:themeColor="text1"/>
        </w:rPr>
        <w:t xml:space="preserve">much </w:t>
      </w:r>
      <w:r w:rsidR="00F45AE7">
        <w:rPr>
          <w:rFonts w:ascii="Verdana" w:hAnsi="Verdana"/>
          <w:color w:val="000000" w:themeColor="text1"/>
        </w:rPr>
        <w:t xml:space="preserve">unprepared for </w:t>
      </w:r>
      <w:r w:rsidR="00176E5E">
        <w:rPr>
          <w:rFonts w:ascii="Verdana" w:hAnsi="Verdana"/>
          <w:color w:val="000000" w:themeColor="text1"/>
        </w:rPr>
        <w:t xml:space="preserve">ensuring </w:t>
      </w:r>
      <w:r w:rsidR="00F45AE7">
        <w:rPr>
          <w:rFonts w:ascii="Verdana" w:hAnsi="Verdana"/>
          <w:color w:val="000000" w:themeColor="text1"/>
        </w:rPr>
        <w:t>digital accessibility</w:t>
      </w:r>
      <w:r w:rsidR="00176E5E">
        <w:rPr>
          <w:rFonts w:ascii="Verdana" w:hAnsi="Verdana"/>
          <w:color w:val="000000" w:themeColor="text1"/>
        </w:rPr>
        <w:t xml:space="preserve"> among their students. </w:t>
      </w:r>
      <w:r w:rsidR="005817EC">
        <w:rPr>
          <w:rFonts w:ascii="Verdana" w:hAnsi="Verdana"/>
          <w:color w:val="000000" w:themeColor="text1"/>
        </w:rPr>
        <w:t>T</w:t>
      </w:r>
      <w:r w:rsidR="00F45AE7">
        <w:rPr>
          <w:rFonts w:ascii="Verdana" w:hAnsi="Verdana"/>
          <w:color w:val="000000" w:themeColor="text1"/>
        </w:rPr>
        <w:t xml:space="preserve">he shift to online learning put more emphasis on </w:t>
      </w:r>
      <w:r w:rsidR="00176E5E">
        <w:rPr>
          <w:rFonts w:ascii="Verdana" w:hAnsi="Verdana"/>
          <w:color w:val="000000" w:themeColor="text1"/>
        </w:rPr>
        <w:t xml:space="preserve">access to essential </w:t>
      </w:r>
      <w:r w:rsidR="00F45AE7">
        <w:rPr>
          <w:rFonts w:ascii="Verdana" w:hAnsi="Verdana"/>
          <w:color w:val="000000" w:themeColor="text1"/>
        </w:rPr>
        <w:t xml:space="preserve">digital resources. </w:t>
      </w:r>
      <w:r w:rsidR="005817EC">
        <w:rPr>
          <w:rFonts w:ascii="Verdana" w:hAnsi="Verdana"/>
          <w:color w:val="000000" w:themeColor="text1"/>
        </w:rPr>
        <w:t xml:space="preserve">Some digital technologies are still not accessible to screen-readers and there was widespread use of recorded video content without captions. </w:t>
      </w:r>
      <w:r w:rsidR="00F45AE7">
        <w:rPr>
          <w:rFonts w:ascii="Verdana" w:hAnsi="Verdana"/>
          <w:color w:val="000000" w:themeColor="text1"/>
        </w:rPr>
        <w:t>The importance of making resources accessible was not in question, but many felt there needed to be greater recognition of the time</w:t>
      </w:r>
      <w:r w:rsidR="00752B27">
        <w:rPr>
          <w:rFonts w:ascii="Verdana" w:hAnsi="Verdana"/>
          <w:color w:val="000000" w:themeColor="text1"/>
        </w:rPr>
        <w:t xml:space="preserve"> commitment this </w:t>
      </w:r>
      <w:r w:rsidR="006F6807">
        <w:rPr>
          <w:rFonts w:ascii="Verdana" w:hAnsi="Verdana"/>
          <w:color w:val="000000" w:themeColor="text1"/>
        </w:rPr>
        <w:t>required,</w:t>
      </w:r>
      <w:r w:rsidR="00752B27">
        <w:rPr>
          <w:rFonts w:ascii="Verdana" w:hAnsi="Verdana"/>
          <w:color w:val="000000" w:themeColor="text1"/>
        </w:rPr>
        <w:t xml:space="preserve"> and </w:t>
      </w:r>
      <w:r w:rsidR="00176E5E">
        <w:rPr>
          <w:rFonts w:ascii="Verdana" w:hAnsi="Verdana"/>
          <w:color w:val="000000" w:themeColor="text1"/>
        </w:rPr>
        <w:t xml:space="preserve">they </w:t>
      </w:r>
      <w:r w:rsidR="00752B27">
        <w:rPr>
          <w:rFonts w:ascii="Verdana" w:hAnsi="Verdana"/>
          <w:color w:val="000000" w:themeColor="text1"/>
        </w:rPr>
        <w:t>called for sufficient time</w:t>
      </w:r>
      <w:r w:rsidR="005817EC">
        <w:rPr>
          <w:rFonts w:ascii="Verdana" w:hAnsi="Verdana"/>
          <w:color w:val="000000" w:themeColor="text1"/>
        </w:rPr>
        <w:t>, expertise</w:t>
      </w:r>
      <w:r w:rsidR="00752B27">
        <w:rPr>
          <w:rFonts w:ascii="Verdana" w:hAnsi="Verdana"/>
          <w:color w:val="000000" w:themeColor="text1"/>
        </w:rPr>
        <w:t xml:space="preserve"> and support to enable this. </w:t>
      </w:r>
    </w:p>
    <w:p w14:paraId="4484CBCA" w14:textId="77777777" w:rsidR="008E4FF1" w:rsidRDefault="008E4FF1" w:rsidP="001927CF">
      <w:pPr>
        <w:spacing w:line="276" w:lineRule="auto"/>
        <w:rPr>
          <w:rFonts w:ascii="Verdana" w:hAnsi="Verdana"/>
          <w:color w:val="000000" w:themeColor="text1"/>
        </w:rPr>
      </w:pPr>
    </w:p>
    <w:p w14:paraId="2FC0717A" w14:textId="4BA75D03" w:rsidR="009D2A02" w:rsidRPr="001927CF" w:rsidRDefault="00752B27" w:rsidP="001927CF">
      <w:pPr>
        <w:spacing w:line="276" w:lineRule="auto"/>
        <w:rPr>
          <w:rFonts w:ascii="Verdana" w:hAnsi="Verdana"/>
          <w:color w:val="FF0000"/>
        </w:rPr>
      </w:pPr>
      <w:r>
        <w:rPr>
          <w:rFonts w:ascii="Verdana" w:hAnsi="Verdana"/>
          <w:color w:val="000000" w:themeColor="text1"/>
        </w:rPr>
        <w:t xml:space="preserve">Accessible classrooms have multiple meanings. Some participants </w:t>
      </w:r>
      <w:r w:rsidR="005817EC">
        <w:rPr>
          <w:rFonts w:ascii="Verdana" w:hAnsi="Verdana"/>
          <w:color w:val="000000" w:themeColor="text1"/>
        </w:rPr>
        <w:t xml:space="preserve">noted </w:t>
      </w:r>
      <w:r>
        <w:rPr>
          <w:rFonts w:ascii="Verdana" w:hAnsi="Verdana"/>
          <w:color w:val="000000" w:themeColor="text1"/>
        </w:rPr>
        <w:t>that even at a very practical level some rooms or buildings used for teaching were not physically accessible for people using wheelchairs</w:t>
      </w:r>
      <w:r w:rsidR="004D7294">
        <w:rPr>
          <w:rFonts w:ascii="Verdana" w:hAnsi="Verdana"/>
          <w:color w:val="000000" w:themeColor="text1"/>
        </w:rPr>
        <w:t xml:space="preserve">. Others talked about the layout of classrooms and the difficulties of creating an ‘inclusive’ space without the need to rearrange furniture which is time consuming </w:t>
      </w:r>
      <w:r w:rsidR="00176E5E">
        <w:rPr>
          <w:rFonts w:ascii="Verdana" w:hAnsi="Verdana"/>
          <w:color w:val="000000" w:themeColor="text1"/>
        </w:rPr>
        <w:t xml:space="preserve">and </w:t>
      </w:r>
      <w:r w:rsidR="004D7294">
        <w:rPr>
          <w:rFonts w:ascii="Verdana" w:hAnsi="Verdana"/>
          <w:color w:val="000000" w:themeColor="text1"/>
        </w:rPr>
        <w:t>may not be feasible.</w:t>
      </w:r>
      <w:r w:rsidR="007C5309">
        <w:rPr>
          <w:rFonts w:ascii="Verdana" w:hAnsi="Verdana"/>
          <w:color w:val="000000" w:themeColor="text1"/>
        </w:rPr>
        <w:t xml:space="preserve"> </w:t>
      </w:r>
      <w:r w:rsidR="005817EC">
        <w:rPr>
          <w:rFonts w:ascii="Verdana" w:hAnsi="Verdana"/>
          <w:color w:val="000000" w:themeColor="text1"/>
        </w:rPr>
        <w:t>Some participants discussed</w:t>
      </w:r>
      <w:r w:rsidR="007C5309">
        <w:rPr>
          <w:rFonts w:ascii="Verdana" w:hAnsi="Verdana"/>
          <w:color w:val="000000" w:themeColor="text1"/>
        </w:rPr>
        <w:t xml:space="preserve"> whether all learning activities can always be accessible to everyone. In </w:t>
      </w:r>
      <w:r w:rsidR="007C5309">
        <w:rPr>
          <w:rFonts w:ascii="Verdana" w:hAnsi="Verdana"/>
          <w:color w:val="000000" w:themeColor="text1"/>
        </w:rPr>
        <w:lastRenderedPageBreak/>
        <w:t xml:space="preserve">addition to reasonable adjustments/accommodations for </w:t>
      </w:r>
      <w:r w:rsidR="005817EC">
        <w:rPr>
          <w:rFonts w:ascii="Verdana" w:hAnsi="Verdana"/>
          <w:color w:val="000000" w:themeColor="text1"/>
        </w:rPr>
        <w:t xml:space="preserve">individual </w:t>
      </w:r>
      <w:r w:rsidR="007C5309">
        <w:rPr>
          <w:rFonts w:ascii="Verdana" w:hAnsi="Verdana"/>
          <w:color w:val="000000" w:themeColor="text1"/>
        </w:rPr>
        <w:t>students</w:t>
      </w:r>
      <w:r w:rsidR="00D417FC">
        <w:rPr>
          <w:rFonts w:ascii="Verdana" w:hAnsi="Verdana"/>
          <w:color w:val="000000" w:themeColor="text1"/>
        </w:rPr>
        <w:t>, many looked for ways to ‘include’ all students including those without formally diagnosed conditions</w:t>
      </w:r>
      <w:r w:rsidR="005817EC">
        <w:rPr>
          <w:rFonts w:ascii="Verdana" w:hAnsi="Verdana"/>
          <w:color w:val="000000" w:themeColor="text1"/>
        </w:rPr>
        <w:t xml:space="preserve"> through their pedagogical practice</w:t>
      </w:r>
      <w:r w:rsidR="00D417FC">
        <w:rPr>
          <w:rFonts w:ascii="Verdana" w:hAnsi="Verdana"/>
          <w:color w:val="000000" w:themeColor="text1"/>
        </w:rPr>
        <w:t xml:space="preserve">. For some, this began with a welcome email at the beginning of the module to introduce themselves and invite students to </w:t>
      </w:r>
      <w:r w:rsidR="00404B3D">
        <w:rPr>
          <w:rFonts w:ascii="Verdana" w:hAnsi="Verdana"/>
          <w:color w:val="000000" w:themeColor="text1"/>
        </w:rPr>
        <w:t xml:space="preserve">reply with anything that could </w:t>
      </w:r>
      <w:r w:rsidR="0055381D">
        <w:rPr>
          <w:rFonts w:ascii="Verdana" w:hAnsi="Verdana"/>
          <w:color w:val="000000" w:themeColor="text1"/>
        </w:rPr>
        <w:t>help them to get the most out of the learning experience on that module</w:t>
      </w:r>
      <w:r w:rsidR="00404B3D">
        <w:rPr>
          <w:rFonts w:ascii="Verdana" w:hAnsi="Verdana"/>
          <w:color w:val="000000" w:themeColor="text1"/>
        </w:rPr>
        <w:t xml:space="preserve">. Others talked about the importance of content notes </w:t>
      </w:r>
      <w:r w:rsidR="00E223DE" w:rsidRPr="0055381D">
        <w:rPr>
          <w:rFonts w:ascii="Verdana" w:hAnsi="Verdana"/>
          <w:color w:val="000000" w:themeColor="text1"/>
        </w:rPr>
        <w:t xml:space="preserve">relating to potential traumatic content </w:t>
      </w:r>
      <w:r w:rsidR="00404B3D" w:rsidRPr="0055381D">
        <w:rPr>
          <w:rFonts w:ascii="Verdana" w:hAnsi="Verdana"/>
          <w:color w:val="000000" w:themeColor="text1"/>
        </w:rPr>
        <w:t>and how this</w:t>
      </w:r>
      <w:r w:rsidR="00A80477" w:rsidRPr="0055381D">
        <w:rPr>
          <w:rFonts w:ascii="Verdana" w:hAnsi="Verdana"/>
          <w:color w:val="000000" w:themeColor="text1"/>
        </w:rPr>
        <w:t xml:space="preserve"> intersects with mental health and marginalisation</w:t>
      </w:r>
      <w:r w:rsidR="00404B3D" w:rsidRPr="0055381D">
        <w:rPr>
          <w:rFonts w:ascii="Verdana" w:hAnsi="Verdana"/>
          <w:color w:val="000000" w:themeColor="text1"/>
        </w:rPr>
        <w:t>.</w:t>
      </w:r>
      <w:r w:rsidR="00A80477" w:rsidRPr="0055381D">
        <w:rPr>
          <w:rFonts w:ascii="Verdana" w:hAnsi="Verdana"/>
          <w:color w:val="000000" w:themeColor="text1"/>
        </w:rPr>
        <w:t xml:space="preserve"> </w:t>
      </w:r>
      <w:r w:rsidR="0055381D">
        <w:rPr>
          <w:rFonts w:ascii="Verdana" w:hAnsi="Verdana"/>
          <w:color w:val="000000" w:themeColor="text1"/>
        </w:rPr>
        <w:t>Bureaucratic processes were again flagged as potentially inhibiting accessible and inclusive teaching</w:t>
      </w:r>
      <w:r w:rsidR="00AD4A51">
        <w:rPr>
          <w:rFonts w:ascii="Verdana" w:hAnsi="Verdana"/>
          <w:color w:val="000000" w:themeColor="text1"/>
        </w:rPr>
        <w:t>, urging simplification of processes to access support and reporting systems for incidents. The increased effort to include pronouns in email signatures and on course syllabi was discussed. Some noted that students had thanked tutors for doing this, especially whe</w:t>
      </w:r>
      <w:r w:rsidR="005817EC">
        <w:rPr>
          <w:rFonts w:ascii="Verdana" w:hAnsi="Verdana"/>
          <w:color w:val="000000" w:themeColor="text1"/>
        </w:rPr>
        <w:t>n they</w:t>
      </w:r>
      <w:r w:rsidR="00AD4A51">
        <w:rPr>
          <w:rFonts w:ascii="Verdana" w:hAnsi="Verdana"/>
          <w:color w:val="000000" w:themeColor="text1"/>
        </w:rPr>
        <w:t xml:space="preserve"> highlighted why this was important</w:t>
      </w:r>
      <w:r w:rsidR="005817EC">
        <w:rPr>
          <w:rFonts w:ascii="Verdana" w:hAnsi="Verdana"/>
          <w:color w:val="000000" w:themeColor="text1"/>
        </w:rPr>
        <w:t xml:space="preserve"> and noted that it had m</w:t>
      </w:r>
      <w:r w:rsidR="00AD4A51">
        <w:rPr>
          <w:rFonts w:ascii="Verdana" w:hAnsi="Verdana"/>
          <w:color w:val="000000" w:themeColor="text1"/>
        </w:rPr>
        <w:t xml:space="preserve">ade them feel more welcome. Others </w:t>
      </w:r>
      <w:r w:rsidR="005817EC">
        <w:rPr>
          <w:rFonts w:ascii="Verdana" w:hAnsi="Verdana"/>
          <w:color w:val="000000" w:themeColor="text1"/>
        </w:rPr>
        <w:t xml:space="preserve">observed </w:t>
      </w:r>
      <w:r w:rsidR="00AD4A51">
        <w:rPr>
          <w:rFonts w:ascii="Verdana" w:hAnsi="Verdana"/>
          <w:color w:val="000000" w:themeColor="text1"/>
        </w:rPr>
        <w:t xml:space="preserve">that some systems could be slow to update and did not reflect changes to name or gender quickly or consistently enough. Some did note that although it could be useful to state one’s own pronouns, caution needed to be shown in asking others to state their preferred name or pronoun as this could put people under pressure and place them under the spotlight. Finally, participants noted that issues of access extended beyond academic study to the wider student experience and particularly highlighted the role that </w:t>
      </w:r>
      <w:r w:rsidR="00AD4A51" w:rsidRPr="00AD4A51">
        <w:rPr>
          <w:rFonts w:ascii="Verdana" w:hAnsi="Verdana"/>
          <w:color w:val="000000" w:themeColor="text1"/>
        </w:rPr>
        <w:t>s</w:t>
      </w:r>
      <w:r w:rsidR="00E502E2" w:rsidRPr="00AD4A51">
        <w:rPr>
          <w:rFonts w:ascii="Verdana" w:hAnsi="Verdana"/>
          <w:color w:val="000000" w:themeColor="text1"/>
        </w:rPr>
        <w:t xml:space="preserve">tudent accommodation and culture on campus </w:t>
      </w:r>
      <w:r w:rsidR="00AD4A51" w:rsidRPr="00AD4A51">
        <w:rPr>
          <w:rFonts w:ascii="Verdana" w:hAnsi="Verdana"/>
          <w:color w:val="000000" w:themeColor="text1"/>
        </w:rPr>
        <w:t xml:space="preserve">could play in </w:t>
      </w:r>
      <w:r w:rsidR="005817EC">
        <w:rPr>
          <w:rFonts w:ascii="Verdana" w:hAnsi="Verdana"/>
          <w:color w:val="000000" w:themeColor="text1"/>
        </w:rPr>
        <w:t>facilitating inclusivity</w:t>
      </w:r>
      <w:r w:rsidR="00AD4A51" w:rsidRPr="00AD4A51">
        <w:rPr>
          <w:rFonts w:ascii="Verdana" w:hAnsi="Verdana"/>
          <w:color w:val="000000" w:themeColor="text1"/>
        </w:rPr>
        <w:t>.</w:t>
      </w:r>
    </w:p>
    <w:p w14:paraId="3D0D9BA4" w14:textId="77777777" w:rsidR="00DF1141" w:rsidRDefault="00DF1141" w:rsidP="0B4088E5">
      <w:pPr>
        <w:spacing w:line="276" w:lineRule="auto"/>
        <w:rPr>
          <w:rFonts w:ascii="Verdana" w:hAnsi="Verdana"/>
          <w:color w:val="000000" w:themeColor="text1"/>
        </w:rPr>
      </w:pPr>
    </w:p>
    <w:p w14:paraId="0C056656" w14:textId="63CB07F8" w:rsidR="0B4088E5" w:rsidRDefault="0B4088E5" w:rsidP="0B4088E5">
      <w:pPr>
        <w:spacing w:line="276" w:lineRule="auto"/>
        <w:rPr>
          <w:rFonts w:ascii="Verdana" w:hAnsi="Verdana"/>
          <w:color w:val="000000" w:themeColor="text1"/>
        </w:rPr>
      </w:pPr>
    </w:p>
    <w:p w14:paraId="0B23B033" w14:textId="77777777" w:rsidR="001836EE" w:rsidRDefault="645E835C" w:rsidP="00061DE5">
      <w:pPr>
        <w:pStyle w:val="Heading1"/>
        <w:rPr>
          <w:color w:val="FF0000"/>
        </w:rPr>
      </w:pPr>
      <w:r w:rsidRPr="0B4088E5">
        <w:t xml:space="preserve">HE, </w:t>
      </w:r>
      <w:proofErr w:type="gramStart"/>
      <w:r w:rsidRPr="0B4088E5">
        <w:t>EDI</w:t>
      </w:r>
      <w:proofErr w:type="gramEnd"/>
      <w:r w:rsidRPr="0B4088E5">
        <w:t xml:space="preserve"> and crisis: the pandemic</w:t>
      </w:r>
      <w:r w:rsidR="00BA6F67">
        <w:t xml:space="preserve"> </w:t>
      </w:r>
      <w:r w:rsidRPr="0B4088E5">
        <w:t>and beyond</w:t>
      </w:r>
      <w:r w:rsidR="00A8183F">
        <w:rPr>
          <w:color w:val="FF0000"/>
        </w:rPr>
        <w:t xml:space="preserve"> </w:t>
      </w:r>
    </w:p>
    <w:p w14:paraId="46FAD298" w14:textId="056C6FF8" w:rsidR="645E835C" w:rsidRPr="001836EE" w:rsidRDefault="0032250D" w:rsidP="0B4088E5">
      <w:pPr>
        <w:spacing w:line="276" w:lineRule="auto"/>
        <w:rPr>
          <w:rFonts w:ascii="Verdana" w:hAnsi="Verdana"/>
          <w:b/>
          <w:bCs/>
          <w:color w:val="FF0000"/>
        </w:rPr>
      </w:pPr>
      <w:r>
        <w:rPr>
          <w:rFonts w:ascii="Verdana" w:hAnsi="Verdana"/>
          <w:color w:val="000000" w:themeColor="text1"/>
        </w:rPr>
        <w:t xml:space="preserve">As investigations such as the </w:t>
      </w:r>
      <w:proofErr w:type="gramStart"/>
      <w:r>
        <w:rPr>
          <w:rFonts w:ascii="Verdana" w:hAnsi="Verdana"/>
          <w:color w:val="000000" w:themeColor="text1"/>
        </w:rPr>
        <w:t>aforementioned post-</w:t>
      </w:r>
      <w:proofErr w:type="gramEnd"/>
      <w:r>
        <w:rPr>
          <w:rFonts w:ascii="Verdana" w:hAnsi="Verdana"/>
          <w:color w:val="000000" w:themeColor="text1"/>
        </w:rPr>
        <w:t>pandemic pedagogy project have established, t</w:t>
      </w:r>
      <w:r w:rsidR="645E835C" w:rsidRPr="001836EE">
        <w:rPr>
          <w:rFonts w:ascii="Verdana" w:hAnsi="Verdana"/>
          <w:color w:val="000000" w:themeColor="text1"/>
        </w:rPr>
        <w:t>h</w:t>
      </w:r>
      <w:r w:rsidR="645E835C" w:rsidRPr="0B4088E5">
        <w:rPr>
          <w:rFonts w:ascii="Verdana" w:hAnsi="Verdana"/>
        </w:rPr>
        <w:t>e Covid-19 pandemic exacerbated a range of EDI issues</w:t>
      </w:r>
      <w:r w:rsidR="007638E2">
        <w:rPr>
          <w:rFonts w:ascii="Verdana" w:hAnsi="Verdana"/>
        </w:rPr>
        <w:t xml:space="preserve"> and brought others to the foreground or into sharper focus</w:t>
      </w:r>
      <w:r w:rsidR="645E835C" w:rsidRPr="0B4088E5">
        <w:rPr>
          <w:rFonts w:ascii="Verdana" w:hAnsi="Verdana"/>
        </w:rPr>
        <w:t xml:space="preserve">. </w:t>
      </w:r>
      <w:r w:rsidR="00463931" w:rsidRPr="0B4088E5">
        <w:rPr>
          <w:rFonts w:ascii="Verdana" w:hAnsi="Verdana"/>
        </w:rPr>
        <w:t xml:space="preserve">These included unequal access to digital learning during lockdowns; lost learning and disrupted transitions to HE; financial precarity; dangerous domestic situations (especially for LGBTQ+ students); increased mental health issues (including students with anxiety and depression, as well as high levels of generally poor mental health and wellbeing, emotional exhaustion and stress amongst staff); and health inequalities (especially for staff and students from Black and South Asian backgrounds or with </w:t>
      </w:r>
      <w:r w:rsidR="00463931" w:rsidRPr="0B4088E5">
        <w:rPr>
          <w:rFonts w:ascii="Verdana" w:hAnsi="Verdana"/>
        </w:rPr>
        <w:lastRenderedPageBreak/>
        <w:t>disabilities and chronic health conditions).</w:t>
      </w:r>
      <w:r w:rsidR="00463931" w:rsidRPr="0B4088E5">
        <w:rPr>
          <w:rStyle w:val="FootnoteReference"/>
          <w:rFonts w:ascii="Verdana" w:hAnsi="Verdana"/>
        </w:rPr>
        <w:footnoteReference w:id="49"/>
      </w:r>
      <w:r w:rsidR="00463931" w:rsidRPr="0B4088E5">
        <w:rPr>
          <w:rFonts w:ascii="Verdana" w:hAnsi="Verdana"/>
        </w:rPr>
        <w:t xml:space="preserve">  </w:t>
      </w:r>
      <w:r w:rsidR="645E835C" w:rsidRPr="0B4088E5">
        <w:rPr>
          <w:rFonts w:ascii="Verdana" w:hAnsi="Verdana"/>
        </w:rPr>
        <w:t xml:space="preserve">Staff and students faced uncertainty that extended far beyond their experiences of teaching and learning. </w:t>
      </w:r>
      <w:r w:rsidR="00463931" w:rsidRPr="001927CF">
        <w:rPr>
          <w:rFonts w:ascii="Verdana" w:hAnsi="Verdana"/>
          <w:color w:val="000000" w:themeColor="text1"/>
        </w:rPr>
        <w:t>An emphasis on ‘survival’ meant it was difficult to focus on anything else other than the immediate demands and challenges of pandemic teaching</w:t>
      </w:r>
      <w:r w:rsidR="00463931">
        <w:rPr>
          <w:rFonts w:ascii="Verdana" w:hAnsi="Verdana"/>
          <w:color w:val="000000" w:themeColor="text1"/>
        </w:rPr>
        <w:t xml:space="preserve"> – often while experiencing Covid-relate</w:t>
      </w:r>
      <w:r w:rsidR="006E5233">
        <w:rPr>
          <w:rFonts w:ascii="Verdana" w:hAnsi="Verdana"/>
          <w:color w:val="000000" w:themeColor="text1"/>
        </w:rPr>
        <w:t>d</w:t>
      </w:r>
      <w:r w:rsidR="00463931">
        <w:rPr>
          <w:rFonts w:ascii="Verdana" w:hAnsi="Verdana"/>
          <w:color w:val="000000" w:themeColor="text1"/>
        </w:rPr>
        <w:t xml:space="preserve"> illness first-hand or while caring for others</w:t>
      </w:r>
      <w:r w:rsidR="00463931" w:rsidRPr="001927CF">
        <w:rPr>
          <w:rFonts w:ascii="Verdana" w:hAnsi="Verdana"/>
          <w:color w:val="000000" w:themeColor="text1"/>
        </w:rPr>
        <w:t>.</w:t>
      </w:r>
    </w:p>
    <w:p w14:paraId="7FE31D53" w14:textId="77777777" w:rsidR="00463931" w:rsidRDefault="00463931" w:rsidP="00463931">
      <w:pPr>
        <w:spacing w:line="276" w:lineRule="auto"/>
        <w:rPr>
          <w:rFonts w:ascii="Verdana" w:hAnsi="Verdana"/>
          <w:color w:val="000000" w:themeColor="text1"/>
        </w:rPr>
      </w:pPr>
    </w:p>
    <w:p w14:paraId="46E8F1B6" w14:textId="4B678E6F" w:rsidR="00463931" w:rsidRPr="001927CF" w:rsidRDefault="00463931" w:rsidP="00463931">
      <w:pPr>
        <w:spacing w:line="276" w:lineRule="auto"/>
        <w:rPr>
          <w:rFonts w:ascii="Verdana" w:hAnsi="Verdana"/>
          <w:color w:val="000000" w:themeColor="text1"/>
        </w:rPr>
      </w:pPr>
      <w:r w:rsidRPr="001927CF">
        <w:rPr>
          <w:rFonts w:ascii="Verdana" w:hAnsi="Verdana"/>
          <w:color w:val="000000" w:themeColor="text1"/>
        </w:rPr>
        <w:t xml:space="preserve">The </w:t>
      </w:r>
      <w:r>
        <w:rPr>
          <w:rFonts w:ascii="Verdana" w:hAnsi="Verdana"/>
          <w:color w:val="000000" w:themeColor="text1"/>
        </w:rPr>
        <w:t>demand</w:t>
      </w:r>
      <w:r w:rsidRPr="001927CF">
        <w:rPr>
          <w:rFonts w:ascii="Verdana" w:hAnsi="Verdana"/>
          <w:color w:val="000000" w:themeColor="text1"/>
        </w:rPr>
        <w:t xml:space="preserve"> to provide additional asynchronous learning activities </w:t>
      </w:r>
      <w:r>
        <w:rPr>
          <w:rFonts w:ascii="Verdana" w:hAnsi="Verdana"/>
          <w:color w:val="000000" w:themeColor="text1"/>
        </w:rPr>
        <w:t>created an almost insurmountable workload.</w:t>
      </w:r>
      <w:r w:rsidRPr="001927CF">
        <w:rPr>
          <w:rFonts w:ascii="Verdana" w:hAnsi="Verdana"/>
          <w:color w:val="000000" w:themeColor="text1"/>
        </w:rPr>
        <w:t xml:space="preserve"> Staff were undertaking additional work at a time when everyone was dealing with the challenges of ‘carrying on in uncertain times’. </w:t>
      </w:r>
      <w:r>
        <w:rPr>
          <w:rFonts w:ascii="Verdana" w:hAnsi="Verdana"/>
          <w:color w:val="000000" w:themeColor="text1"/>
        </w:rPr>
        <w:t>P</w:t>
      </w:r>
      <w:r w:rsidRPr="001927CF">
        <w:rPr>
          <w:rFonts w:ascii="Verdana" w:hAnsi="Verdana"/>
          <w:color w:val="000000" w:themeColor="text1"/>
        </w:rPr>
        <w:t>articipants</w:t>
      </w:r>
      <w:r>
        <w:rPr>
          <w:rFonts w:ascii="Verdana" w:hAnsi="Verdana"/>
          <w:color w:val="000000" w:themeColor="text1"/>
        </w:rPr>
        <w:t xml:space="preserve"> in our focus groups</w:t>
      </w:r>
      <w:r w:rsidRPr="001927CF">
        <w:rPr>
          <w:rFonts w:ascii="Verdana" w:hAnsi="Verdana"/>
          <w:color w:val="000000" w:themeColor="text1"/>
        </w:rPr>
        <w:t xml:space="preserve"> were also acutely aware of the impact on mental health and wellbeing – both of staff and students – with one participant stating </w:t>
      </w:r>
      <w:r>
        <w:rPr>
          <w:rFonts w:ascii="Verdana" w:hAnsi="Verdana"/>
          <w:color w:val="000000" w:themeColor="text1"/>
        </w:rPr>
        <w:t xml:space="preserve">that </w:t>
      </w:r>
      <w:r w:rsidRPr="001927CF">
        <w:rPr>
          <w:rFonts w:ascii="Verdana" w:hAnsi="Verdana"/>
          <w:color w:val="000000" w:themeColor="text1"/>
        </w:rPr>
        <w:t>‘anxiety is endemic’ and others noting the impact on ‘community’. Many noted the importance of personal tutoring and maintaining regular contact with tutees: ‘reminding students we were there was sometimes enough’. Some students needed much more support than others and personal tutors were sometimes left overwhelmed</w:t>
      </w:r>
      <w:r>
        <w:rPr>
          <w:rFonts w:ascii="Verdana" w:hAnsi="Verdana"/>
          <w:color w:val="000000" w:themeColor="text1"/>
        </w:rPr>
        <w:t xml:space="preserve">: </w:t>
      </w:r>
      <w:r w:rsidRPr="001927CF">
        <w:rPr>
          <w:rFonts w:ascii="Verdana" w:hAnsi="Verdana"/>
          <w:color w:val="000000" w:themeColor="text1"/>
        </w:rPr>
        <w:t>after all, as one participant noted, ‘staff are not trained to deal with the range of issues students were facing’. Online learning also led to some expectations for ‘on-demand learning’ and more meetings were held to ‘manage change’. Several participants felt that the ‘move online’ had ‘accentuated trends in the consumerisation of higher education’. Expectations to do eve</w:t>
      </w:r>
      <w:r>
        <w:rPr>
          <w:rFonts w:ascii="Verdana" w:hAnsi="Verdana"/>
          <w:color w:val="000000" w:themeColor="text1"/>
        </w:rPr>
        <w:t xml:space="preserve">n </w:t>
      </w:r>
      <w:r w:rsidRPr="001927CF">
        <w:rPr>
          <w:rFonts w:ascii="Verdana" w:hAnsi="Verdana"/>
          <w:color w:val="000000" w:themeColor="text1"/>
        </w:rPr>
        <w:t>more create</w:t>
      </w:r>
      <w:r>
        <w:rPr>
          <w:rFonts w:ascii="Verdana" w:hAnsi="Verdana"/>
          <w:color w:val="000000" w:themeColor="text1"/>
        </w:rPr>
        <w:t>d</w:t>
      </w:r>
      <w:r w:rsidRPr="001927CF">
        <w:rPr>
          <w:rFonts w:ascii="Verdana" w:hAnsi="Verdana"/>
          <w:color w:val="000000" w:themeColor="text1"/>
        </w:rPr>
        <w:t xml:space="preserve"> hierarchies, with one participant emphasising that ‘we need to be really careful about valorising the additional labour that colleagues put into supporting students’, to avoid endorsing overworking or </w:t>
      </w:r>
      <w:r w:rsidRPr="001927CF">
        <w:rPr>
          <w:rFonts w:ascii="Verdana" w:hAnsi="Verdana"/>
          <w:color w:val="000000" w:themeColor="text1"/>
        </w:rPr>
        <w:lastRenderedPageBreak/>
        <w:t>marginalising colleagues with caring responsibilities, disabilities or health issues.</w:t>
      </w:r>
    </w:p>
    <w:p w14:paraId="65616EAA" w14:textId="77777777" w:rsidR="00897AF4" w:rsidRDefault="00897AF4" w:rsidP="0B4088E5">
      <w:pPr>
        <w:spacing w:line="276" w:lineRule="auto"/>
        <w:rPr>
          <w:rFonts w:ascii="Verdana" w:hAnsi="Verdana"/>
          <w:color w:val="FF0000"/>
          <w:vertAlign w:val="superscript"/>
        </w:rPr>
      </w:pPr>
    </w:p>
    <w:p w14:paraId="786A58DC" w14:textId="35115E67" w:rsidR="00B27EB5" w:rsidRDefault="00B27EB5" w:rsidP="0B4088E5">
      <w:pPr>
        <w:spacing w:line="276" w:lineRule="auto"/>
        <w:rPr>
          <w:rFonts w:ascii="Verdana" w:hAnsi="Verdana"/>
          <w:color w:val="000000" w:themeColor="text1"/>
        </w:rPr>
      </w:pPr>
      <w:r>
        <w:rPr>
          <w:rFonts w:ascii="Verdana" w:hAnsi="Verdana"/>
          <w:color w:val="000000" w:themeColor="text1"/>
        </w:rPr>
        <w:t>Focus group p</w:t>
      </w:r>
      <w:r w:rsidRPr="001927CF">
        <w:rPr>
          <w:rFonts w:ascii="Verdana" w:hAnsi="Verdana"/>
          <w:color w:val="000000" w:themeColor="text1"/>
        </w:rPr>
        <w:t>articipants stressed that we won’t know the longer-term effects and impact of the pandemic on different groups of students for some time (and in terms of intersectionality, perhaps not at all). Some felt that a desire to revert to ‘normality’ had the inherent risk of not recognising and addressing existing and new challenges and in some instances undermining the value of initiatives introduced during the pandemic (especially around digital learning in the classroom) that could</w:t>
      </w:r>
      <w:r>
        <w:rPr>
          <w:rFonts w:ascii="Verdana" w:hAnsi="Verdana"/>
          <w:color w:val="000000" w:themeColor="text1"/>
        </w:rPr>
        <w:t xml:space="preserve"> be</w:t>
      </w:r>
      <w:r w:rsidRPr="001927CF">
        <w:rPr>
          <w:rFonts w:ascii="Verdana" w:hAnsi="Verdana"/>
          <w:color w:val="000000" w:themeColor="text1"/>
        </w:rPr>
        <w:t xml:space="preserve"> </w:t>
      </w:r>
      <w:r>
        <w:rPr>
          <w:rFonts w:ascii="Verdana" w:hAnsi="Verdana"/>
          <w:color w:val="000000" w:themeColor="text1"/>
        </w:rPr>
        <w:t xml:space="preserve">(and </w:t>
      </w:r>
      <w:r w:rsidR="001D56CF">
        <w:rPr>
          <w:rFonts w:ascii="Verdana" w:hAnsi="Verdana"/>
          <w:color w:val="000000" w:themeColor="text1"/>
        </w:rPr>
        <w:t xml:space="preserve">in some cases </w:t>
      </w:r>
      <w:r>
        <w:rPr>
          <w:rFonts w:ascii="Verdana" w:hAnsi="Verdana"/>
          <w:color w:val="000000" w:themeColor="text1"/>
        </w:rPr>
        <w:t>should have been)</w:t>
      </w:r>
      <w:r w:rsidRPr="001927CF">
        <w:rPr>
          <w:rFonts w:ascii="Verdana" w:hAnsi="Verdana"/>
          <w:color w:val="000000" w:themeColor="text1"/>
        </w:rPr>
        <w:t xml:space="preserve"> retained. </w:t>
      </w:r>
    </w:p>
    <w:p w14:paraId="03D24FF6" w14:textId="77777777" w:rsidR="00B27EB5" w:rsidRDefault="00B27EB5" w:rsidP="0B4088E5">
      <w:pPr>
        <w:spacing w:line="276" w:lineRule="auto"/>
        <w:rPr>
          <w:rFonts w:ascii="Verdana" w:hAnsi="Verdana"/>
          <w:color w:val="000000" w:themeColor="text1"/>
        </w:rPr>
      </w:pPr>
    </w:p>
    <w:p w14:paraId="6DC14D54" w14:textId="22DFEEA1" w:rsidR="645E835C" w:rsidRDefault="645E835C" w:rsidP="0B4088E5">
      <w:pPr>
        <w:spacing w:line="276" w:lineRule="auto"/>
        <w:rPr>
          <w:rFonts w:ascii="Verdana" w:hAnsi="Verdana"/>
        </w:rPr>
      </w:pPr>
      <w:r w:rsidRPr="0B4088E5">
        <w:rPr>
          <w:rFonts w:ascii="Verdana" w:hAnsi="Verdana"/>
          <w:color w:val="000000" w:themeColor="text1"/>
        </w:rPr>
        <w:t>Research continues to document and interpret the complex physiological, psychological, and social consequences of the pandemic among staff and students in HE. Some staff and students who are ‘extremely clinical vulnerable’ or</w:t>
      </w:r>
      <w:r w:rsidR="00897AF4">
        <w:rPr>
          <w:rFonts w:ascii="Verdana" w:hAnsi="Verdana"/>
          <w:color w:val="000000" w:themeColor="text1"/>
        </w:rPr>
        <w:t xml:space="preserve"> in</w:t>
      </w:r>
      <w:r w:rsidRPr="0B4088E5">
        <w:rPr>
          <w:rFonts w:ascii="Verdana" w:hAnsi="Verdana"/>
          <w:color w:val="000000" w:themeColor="text1"/>
        </w:rPr>
        <w:t xml:space="preserve"> ‘high risk groups’ may face ongoing risk and challenge within a society focussed on returning to ‘normal’. HE may also face longer term consequences </w:t>
      </w:r>
      <w:r w:rsidR="00897AF4">
        <w:rPr>
          <w:rFonts w:ascii="Verdana" w:hAnsi="Verdana"/>
          <w:color w:val="000000" w:themeColor="text1"/>
        </w:rPr>
        <w:t>associated with the</w:t>
      </w:r>
      <w:r w:rsidRPr="0B4088E5">
        <w:rPr>
          <w:rFonts w:ascii="Verdana" w:hAnsi="Verdana"/>
          <w:color w:val="000000" w:themeColor="text1"/>
        </w:rPr>
        <w:t xml:space="preserve"> lost learning and digital poverty in primary and secondary schools during the pandemic. The pandemic has notably led to a large increase in the numbers of people diagnosed with long-term illness including long-Covid and mental ill health.</w:t>
      </w:r>
      <w:r w:rsidRPr="0B4088E5">
        <w:rPr>
          <w:rStyle w:val="FootnoteReference"/>
          <w:rFonts w:ascii="Verdana" w:hAnsi="Verdana"/>
          <w:color w:val="000000" w:themeColor="text1"/>
        </w:rPr>
        <w:footnoteReference w:id="50"/>
      </w:r>
      <w:r w:rsidRPr="0B4088E5">
        <w:rPr>
          <w:rFonts w:ascii="Verdana" w:hAnsi="Verdana"/>
          <w:color w:val="000000" w:themeColor="text1"/>
        </w:rPr>
        <w:t xml:space="preserve"> </w:t>
      </w:r>
      <w:r w:rsidRPr="0B4088E5">
        <w:rPr>
          <w:rFonts w:ascii="Verdana" w:hAnsi="Verdana"/>
        </w:rPr>
        <w:t xml:space="preserve">A recent report by the Welsh Parliament highlighted the scale and scope of mental ill-health within HE. Anxiety amongst the Welsh student population is 2.5 times that of the general population, with 23% of students feeling lonely most or all of the time, compared to 5% more generally. It highlighted the academic and social pressures faced by students and noted that associated mental ill-health had been further exacerbated by the pandemic. The report demonstrated the need for accurate and timely data on the extent of mental health issues within the student population, including evaluation of the pandemic ‘on readiness </w:t>
      </w:r>
      <w:r w:rsidRPr="0B4088E5">
        <w:rPr>
          <w:rFonts w:ascii="Verdana" w:hAnsi="Verdana"/>
        </w:rPr>
        <w:lastRenderedPageBreak/>
        <w:t>for, and transitions into, higher education’ and</w:t>
      </w:r>
      <w:r w:rsidR="00D95FCB">
        <w:rPr>
          <w:rFonts w:ascii="Verdana" w:hAnsi="Verdana"/>
        </w:rPr>
        <w:t xml:space="preserve"> greater</w:t>
      </w:r>
      <w:r w:rsidRPr="0B4088E5">
        <w:rPr>
          <w:rFonts w:ascii="Verdana" w:hAnsi="Verdana"/>
        </w:rPr>
        <w:t xml:space="preserve"> awareness of </w:t>
      </w:r>
      <w:r w:rsidR="00D95FCB">
        <w:rPr>
          <w:rFonts w:ascii="Verdana" w:hAnsi="Verdana"/>
        </w:rPr>
        <w:t xml:space="preserve">how mental health problems </w:t>
      </w:r>
      <w:r w:rsidRPr="0B4088E5">
        <w:rPr>
          <w:rFonts w:ascii="Verdana" w:hAnsi="Verdana"/>
        </w:rPr>
        <w:t>intersect</w:t>
      </w:r>
      <w:r w:rsidR="00D95FCB">
        <w:rPr>
          <w:rFonts w:ascii="Verdana" w:hAnsi="Verdana"/>
        </w:rPr>
        <w:t>ed</w:t>
      </w:r>
      <w:r w:rsidRPr="0B4088E5">
        <w:rPr>
          <w:rFonts w:ascii="Verdana" w:hAnsi="Verdana"/>
        </w:rPr>
        <w:t xml:space="preserve"> with other characteristics, together with more mental health support and</w:t>
      </w:r>
      <w:r w:rsidR="00D95FCB">
        <w:rPr>
          <w:rFonts w:ascii="Verdana" w:hAnsi="Verdana"/>
        </w:rPr>
        <w:t xml:space="preserve"> action to</w:t>
      </w:r>
      <w:r w:rsidRPr="0B4088E5">
        <w:rPr>
          <w:rFonts w:ascii="Verdana" w:hAnsi="Verdana"/>
        </w:rPr>
        <w:t xml:space="preserve"> reduc</w:t>
      </w:r>
      <w:r w:rsidR="00D95FCB">
        <w:rPr>
          <w:rFonts w:ascii="Verdana" w:hAnsi="Verdana"/>
        </w:rPr>
        <w:t>e</w:t>
      </w:r>
      <w:r w:rsidRPr="0B4088E5">
        <w:rPr>
          <w:rFonts w:ascii="Verdana" w:hAnsi="Verdana"/>
        </w:rPr>
        <w:t xml:space="preserve"> </w:t>
      </w:r>
      <w:r w:rsidR="00D95FCB">
        <w:rPr>
          <w:rFonts w:ascii="Verdana" w:hAnsi="Verdana"/>
        </w:rPr>
        <w:t>any</w:t>
      </w:r>
      <w:r w:rsidRPr="0B4088E5">
        <w:rPr>
          <w:rFonts w:ascii="Verdana" w:hAnsi="Verdana"/>
        </w:rPr>
        <w:t xml:space="preserve"> stigma as</w:t>
      </w:r>
      <w:r w:rsidR="00D95FCB">
        <w:rPr>
          <w:rFonts w:ascii="Verdana" w:hAnsi="Verdana"/>
        </w:rPr>
        <w:t xml:space="preserve">sociated with mental illness and accessing support </w:t>
      </w:r>
      <w:r w:rsidR="00DE0CD2">
        <w:rPr>
          <w:rFonts w:ascii="Verdana" w:hAnsi="Verdana"/>
        </w:rPr>
        <w:t>at university</w:t>
      </w:r>
      <w:r w:rsidRPr="0B4088E5">
        <w:rPr>
          <w:rFonts w:ascii="Verdana" w:hAnsi="Verdana"/>
        </w:rPr>
        <w:t>. It also urged people not to lose focus of the many and varied personal experiences among those affected.</w:t>
      </w:r>
      <w:r w:rsidRPr="0B4088E5">
        <w:rPr>
          <w:rStyle w:val="FootnoteReference"/>
          <w:rFonts w:ascii="Verdana" w:hAnsi="Verdana"/>
        </w:rPr>
        <w:footnoteReference w:id="51"/>
      </w:r>
      <w:r w:rsidRPr="0B4088E5">
        <w:rPr>
          <w:rFonts w:ascii="Verdana" w:hAnsi="Verdana"/>
        </w:rPr>
        <w:t xml:space="preserve"> Advance HE have urged educational providers to ‘consider support with an intersectional lens, in light of the multiple barriers disabled students had to manage and overcome’ during the pandemic.</w:t>
      </w:r>
      <w:r w:rsidRPr="0B4088E5">
        <w:rPr>
          <w:rStyle w:val="FootnoteReference"/>
          <w:rFonts w:ascii="Verdana" w:hAnsi="Verdana"/>
        </w:rPr>
        <w:footnoteReference w:id="52"/>
      </w:r>
      <w:r w:rsidR="004F3AC9">
        <w:rPr>
          <w:rFonts w:ascii="Verdana" w:hAnsi="Verdana"/>
          <w:color w:val="000000" w:themeColor="text1"/>
        </w:rPr>
        <w:t xml:space="preserve"> </w:t>
      </w:r>
      <w:r w:rsidRPr="0B4088E5">
        <w:rPr>
          <w:rFonts w:ascii="Verdana" w:hAnsi="Verdana"/>
        </w:rPr>
        <w:t>The Department for Education and the Education Policy Institute highlighted that learning losses remained greater for ‘disadvantaged’ pupils than their ‘non-disadvantaged’ peers. They also noted large regional disparities which should be considered alongside the existing geographical inequalities noted earlier in this report.</w:t>
      </w:r>
      <w:r w:rsidRPr="0B4088E5">
        <w:rPr>
          <w:rStyle w:val="FootnoteReference"/>
          <w:rFonts w:ascii="Verdana" w:hAnsi="Verdana"/>
        </w:rPr>
        <w:footnoteReference w:id="53"/>
      </w:r>
      <w:r w:rsidRPr="0B4088E5">
        <w:rPr>
          <w:rFonts w:ascii="Verdana" w:hAnsi="Verdana"/>
        </w:rPr>
        <w:t xml:space="preserve"> </w:t>
      </w:r>
    </w:p>
    <w:p w14:paraId="5C4E5861" w14:textId="77777777" w:rsidR="00B27EB5" w:rsidRDefault="00B27EB5" w:rsidP="0B4088E5">
      <w:pPr>
        <w:spacing w:line="276" w:lineRule="auto"/>
        <w:rPr>
          <w:rFonts w:ascii="Verdana" w:hAnsi="Verdana"/>
        </w:rPr>
      </w:pPr>
    </w:p>
    <w:p w14:paraId="36637FC5" w14:textId="77777777" w:rsidR="00B27EB5" w:rsidRPr="00025182" w:rsidRDefault="00B27EB5" w:rsidP="00B27EB5">
      <w:pPr>
        <w:spacing w:line="276" w:lineRule="auto"/>
        <w:rPr>
          <w:rFonts w:ascii="Verdana" w:hAnsi="Verdana"/>
          <w:color w:val="000000" w:themeColor="text1"/>
        </w:rPr>
      </w:pPr>
      <w:r w:rsidRPr="00025182">
        <w:rPr>
          <w:rFonts w:ascii="Verdana" w:hAnsi="Verdana"/>
          <w:color w:val="000000" w:themeColor="text1"/>
        </w:rPr>
        <w:t>Participants</w:t>
      </w:r>
      <w:r>
        <w:rPr>
          <w:rFonts w:ascii="Verdana" w:hAnsi="Verdana"/>
          <w:color w:val="000000" w:themeColor="text1"/>
        </w:rPr>
        <w:t xml:space="preserve"> in our focus groups</w:t>
      </w:r>
      <w:r w:rsidRPr="00025182">
        <w:rPr>
          <w:rFonts w:ascii="Verdana" w:hAnsi="Verdana"/>
          <w:color w:val="000000" w:themeColor="text1"/>
        </w:rPr>
        <w:t xml:space="preserve"> noted that poverty was increasingly identified as an issue for students and that this was exacerbated during the pandemic. Specific issues such as the cost of </w:t>
      </w:r>
      <w:r>
        <w:rPr>
          <w:rFonts w:ascii="Verdana" w:hAnsi="Verdana"/>
          <w:color w:val="000000" w:themeColor="text1"/>
        </w:rPr>
        <w:t>high-speed broadband</w:t>
      </w:r>
      <w:r w:rsidRPr="00025182">
        <w:rPr>
          <w:rFonts w:ascii="Verdana" w:hAnsi="Verdana"/>
          <w:color w:val="000000" w:themeColor="text1"/>
        </w:rPr>
        <w:t xml:space="preserve"> connections </w:t>
      </w:r>
      <w:r>
        <w:rPr>
          <w:rFonts w:ascii="Verdana" w:hAnsi="Verdana"/>
          <w:color w:val="000000" w:themeColor="text1"/>
        </w:rPr>
        <w:t>to enable</w:t>
      </w:r>
      <w:r w:rsidRPr="00025182">
        <w:rPr>
          <w:rFonts w:ascii="Verdana" w:hAnsi="Verdana"/>
          <w:color w:val="000000" w:themeColor="text1"/>
        </w:rPr>
        <w:t xml:space="preserve"> online teaching and learning</w:t>
      </w:r>
      <w:r>
        <w:rPr>
          <w:rFonts w:ascii="Verdana" w:hAnsi="Verdana"/>
          <w:color w:val="000000" w:themeColor="text1"/>
        </w:rPr>
        <w:t xml:space="preserve">, </w:t>
      </w:r>
      <w:r w:rsidRPr="00025182">
        <w:rPr>
          <w:rFonts w:ascii="Verdana" w:hAnsi="Verdana"/>
          <w:color w:val="000000" w:themeColor="text1"/>
        </w:rPr>
        <w:t>together with wider issues about ‘spaces’ to study and engage with online lectures and seminars</w:t>
      </w:r>
      <w:r>
        <w:rPr>
          <w:rFonts w:ascii="Verdana" w:hAnsi="Verdana"/>
          <w:color w:val="000000" w:themeColor="text1"/>
        </w:rPr>
        <w:t>,</w:t>
      </w:r>
      <w:r w:rsidRPr="00025182">
        <w:rPr>
          <w:rFonts w:ascii="Verdana" w:hAnsi="Verdana"/>
          <w:color w:val="000000" w:themeColor="text1"/>
        </w:rPr>
        <w:t xml:space="preserve"> </w:t>
      </w:r>
      <w:r>
        <w:rPr>
          <w:rFonts w:ascii="Verdana" w:hAnsi="Verdana"/>
          <w:color w:val="000000" w:themeColor="text1"/>
        </w:rPr>
        <w:t>only emphasised the EDI</w:t>
      </w:r>
      <w:r w:rsidRPr="00025182">
        <w:rPr>
          <w:rFonts w:ascii="Verdana" w:hAnsi="Verdana"/>
          <w:color w:val="000000" w:themeColor="text1"/>
        </w:rPr>
        <w:t xml:space="preserve"> concerns </w:t>
      </w:r>
      <w:r>
        <w:rPr>
          <w:rFonts w:ascii="Verdana" w:hAnsi="Verdana"/>
          <w:color w:val="000000" w:themeColor="text1"/>
        </w:rPr>
        <w:t>related to the</w:t>
      </w:r>
      <w:r w:rsidRPr="00025182">
        <w:rPr>
          <w:rFonts w:ascii="Verdana" w:hAnsi="Verdana"/>
          <w:color w:val="000000" w:themeColor="text1"/>
        </w:rPr>
        <w:t xml:space="preserve"> longer</w:t>
      </w:r>
      <w:r>
        <w:rPr>
          <w:rFonts w:ascii="Verdana" w:hAnsi="Verdana"/>
          <w:color w:val="000000" w:themeColor="text1"/>
        </w:rPr>
        <w:t>-</w:t>
      </w:r>
      <w:r w:rsidRPr="00025182">
        <w:rPr>
          <w:rFonts w:ascii="Verdana" w:hAnsi="Verdana"/>
          <w:color w:val="000000" w:themeColor="text1"/>
        </w:rPr>
        <w:t xml:space="preserve">term implications </w:t>
      </w:r>
      <w:r>
        <w:rPr>
          <w:rFonts w:ascii="Verdana" w:hAnsi="Verdana"/>
          <w:color w:val="000000" w:themeColor="text1"/>
        </w:rPr>
        <w:t>for</w:t>
      </w:r>
      <w:r w:rsidRPr="00025182">
        <w:rPr>
          <w:rFonts w:ascii="Verdana" w:hAnsi="Verdana"/>
          <w:color w:val="000000" w:themeColor="text1"/>
        </w:rPr>
        <w:t xml:space="preserve"> progression, awarding gaps and employability</w:t>
      </w:r>
      <w:r>
        <w:rPr>
          <w:rFonts w:ascii="Verdana" w:hAnsi="Verdana"/>
          <w:color w:val="000000" w:themeColor="text1"/>
        </w:rPr>
        <w:t xml:space="preserve">. Much of this may be </w:t>
      </w:r>
      <w:r w:rsidRPr="00025182">
        <w:rPr>
          <w:rFonts w:ascii="Verdana" w:hAnsi="Verdana"/>
          <w:color w:val="000000" w:themeColor="text1"/>
        </w:rPr>
        <w:t xml:space="preserve">difficult to map </w:t>
      </w:r>
      <w:r>
        <w:rPr>
          <w:rFonts w:ascii="Verdana" w:hAnsi="Verdana"/>
          <w:color w:val="000000" w:themeColor="text1"/>
        </w:rPr>
        <w:t>out if they are not captured by</w:t>
      </w:r>
      <w:r w:rsidRPr="00025182">
        <w:rPr>
          <w:rFonts w:ascii="Verdana" w:hAnsi="Verdana"/>
          <w:color w:val="000000" w:themeColor="text1"/>
        </w:rPr>
        <w:t xml:space="preserve"> data. This of course has become even more striking during the current cost of living crisis. The need to undertake paid work, to support themselves or families, affect</w:t>
      </w:r>
      <w:r>
        <w:rPr>
          <w:rFonts w:ascii="Verdana" w:hAnsi="Verdana"/>
          <w:color w:val="000000" w:themeColor="text1"/>
        </w:rPr>
        <w:t>ed</w:t>
      </w:r>
      <w:r w:rsidRPr="00025182">
        <w:rPr>
          <w:rFonts w:ascii="Verdana" w:hAnsi="Verdana"/>
          <w:color w:val="000000" w:themeColor="text1"/>
        </w:rPr>
        <w:t xml:space="preserve"> students’ ability to attend and engage with some aspects of university l</w:t>
      </w:r>
      <w:r>
        <w:rPr>
          <w:rFonts w:ascii="Verdana" w:hAnsi="Verdana"/>
          <w:color w:val="000000" w:themeColor="text1"/>
        </w:rPr>
        <w:t>ife. Participants sensed much greater anxiety about the future amongst students.</w:t>
      </w:r>
    </w:p>
    <w:p w14:paraId="4805A937" w14:textId="77777777" w:rsidR="0B4088E5" w:rsidRDefault="0B4088E5" w:rsidP="0B4088E5">
      <w:pPr>
        <w:spacing w:line="276" w:lineRule="auto"/>
        <w:rPr>
          <w:rFonts w:ascii="Verdana" w:hAnsi="Verdana"/>
        </w:rPr>
      </w:pPr>
    </w:p>
    <w:p w14:paraId="0A45E2D8" w14:textId="24AC0DC5" w:rsidR="645E835C" w:rsidRDefault="645E835C" w:rsidP="0B4088E5">
      <w:pPr>
        <w:spacing w:line="276" w:lineRule="auto"/>
        <w:rPr>
          <w:rFonts w:ascii="Verdana" w:hAnsi="Verdana"/>
        </w:rPr>
      </w:pPr>
      <w:r w:rsidRPr="0B4088E5">
        <w:rPr>
          <w:rFonts w:ascii="Verdana" w:hAnsi="Verdana"/>
        </w:rPr>
        <w:t xml:space="preserve">Alongside the pandemic, the cost-of-living crisis has accelerated </w:t>
      </w:r>
      <w:r w:rsidR="00DE0CD2">
        <w:rPr>
          <w:rFonts w:ascii="Verdana" w:hAnsi="Verdana"/>
        </w:rPr>
        <w:t xml:space="preserve">and is now </w:t>
      </w:r>
      <w:r w:rsidRPr="0B4088E5">
        <w:rPr>
          <w:rFonts w:ascii="Verdana" w:hAnsi="Verdana"/>
        </w:rPr>
        <w:t>affecting both staff and students. Several reports have drawn attention to a rise in both accommodation costs and homelessness (including so-called ‘hidden homelessness’).</w:t>
      </w:r>
      <w:r w:rsidRPr="0B4088E5">
        <w:rPr>
          <w:rStyle w:val="FootnoteReference"/>
          <w:rFonts w:ascii="Verdana" w:hAnsi="Verdana"/>
        </w:rPr>
        <w:footnoteReference w:id="54"/>
      </w:r>
      <w:r w:rsidRPr="0B4088E5">
        <w:rPr>
          <w:rFonts w:ascii="Verdana" w:hAnsi="Verdana"/>
        </w:rPr>
        <w:t xml:space="preserve"> The value of student loans has been weakened by inflation.</w:t>
      </w:r>
      <w:r w:rsidRPr="0B4088E5">
        <w:rPr>
          <w:rStyle w:val="FootnoteReference"/>
          <w:rFonts w:ascii="Verdana" w:hAnsi="Verdana"/>
        </w:rPr>
        <w:footnoteReference w:id="55"/>
      </w:r>
      <w:r w:rsidRPr="0B4088E5">
        <w:rPr>
          <w:rFonts w:ascii="Verdana" w:hAnsi="Verdana"/>
        </w:rPr>
        <w:t xml:space="preserve"> Student poverty also affects health and wellbeing, the time and ability to focus on studies, and retention rates.</w:t>
      </w:r>
      <w:r w:rsidRPr="0B4088E5">
        <w:rPr>
          <w:rStyle w:val="FootnoteReference"/>
          <w:rFonts w:ascii="Verdana" w:hAnsi="Verdana"/>
        </w:rPr>
        <w:footnoteReference w:id="56"/>
      </w:r>
      <w:r w:rsidRPr="0B4088E5">
        <w:rPr>
          <w:rFonts w:ascii="Verdana" w:hAnsi="Verdana"/>
        </w:rPr>
        <w:t xml:space="preserve"> Most recently, in June 2023, </w:t>
      </w:r>
      <w:hyperlink r:id="rId19">
        <w:r w:rsidRPr="0B4088E5">
          <w:rPr>
            <w:rStyle w:val="Hyperlink"/>
            <w:rFonts w:ascii="Verdana" w:hAnsi="Verdana"/>
          </w:rPr>
          <w:t>the Student Academic Experience Survey by Advance HE and HEPI</w:t>
        </w:r>
      </w:hyperlink>
      <w:r w:rsidRPr="0B4088E5">
        <w:rPr>
          <w:rFonts w:ascii="Verdana" w:hAnsi="Verdana"/>
        </w:rPr>
        <w:t xml:space="preserve"> highlighted that more university students are working alongside their studies (55% compared to 45% 12 months ago) and that a large proportion said that the cost of living crisis was negatively impacting on their studies (76%).</w:t>
      </w:r>
    </w:p>
    <w:p w14:paraId="3B195F07" w14:textId="77777777" w:rsidR="0B4088E5" w:rsidRDefault="0B4088E5" w:rsidP="0B4088E5">
      <w:pPr>
        <w:spacing w:line="276" w:lineRule="auto"/>
        <w:rPr>
          <w:rFonts w:ascii="Verdana" w:hAnsi="Verdana"/>
        </w:rPr>
      </w:pPr>
    </w:p>
    <w:p w14:paraId="16D82C17" w14:textId="18597A48" w:rsidR="645E835C" w:rsidRDefault="645E835C" w:rsidP="0B4088E5">
      <w:pPr>
        <w:spacing w:line="276" w:lineRule="auto"/>
        <w:rPr>
          <w:rFonts w:ascii="Verdana" w:hAnsi="Verdana"/>
        </w:rPr>
      </w:pPr>
      <w:r w:rsidRPr="0B4088E5">
        <w:rPr>
          <w:rFonts w:ascii="Verdana" w:hAnsi="Verdana"/>
        </w:rPr>
        <w:t xml:space="preserve">A </w:t>
      </w:r>
      <w:hyperlink r:id="rId20">
        <w:r w:rsidRPr="0B4088E5">
          <w:rPr>
            <w:rStyle w:val="Hyperlink"/>
            <w:rFonts w:ascii="Verdana" w:hAnsi="Verdana"/>
          </w:rPr>
          <w:t>guide to student poverty</w:t>
        </w:r>
      </w:hyperlink>
      <w:r w:rsidRPr="0B4088E5">
        <w:rPr>
          <w:rFonts w:ascii="Verdana" w:hAnsi="Verdana"/>
        </w:rPr>
        <w:t xml:space="preserve"> aimed at university lecturers was produced by Dr David Hitchcock (a historian of poverty) in 2022. It provides practical advice to create more inclusive and understanding learning environments in the wake of the cost-of-living crisis, emphasising the importance of flexibility and support. Lecturers should be aware that financial circumstances may force many students to work long hours alongside full-time studies and students may need to interrupt or withdraw from their studies due to the escalating cost of living. Personal tutoring, knowledge of student financial systems and potential sources of aid, and adaptions to learning activities (planning with ‘poverty in mind’), together with avoiding judgements about attendance and preparedness are all recommended.</w:t>
      </w:r>
      <w:r w:rsidRPr="0B4088E5">
        <w:rPr>
          <w:rStyle w:val="FootnoteReference"/>
          <w:rFonts w:ascii="Verdana" w:hAnsi="Verdana"/>
        </w:rPr>
        <w:footnoteReference w:id="57"/>
      </w:r>
    </w:p>
    <w:p w14:paraId="4055C8D3" w14:textId="77777777" w:rsidR="0B4088E5" w:rsidRDefault="0B4088E5" w:rsidP="0B4088E5">
      <w:pPr>
        <w:spacing w:line="276" w:lineRule="auto"/>
        <w:rPr>
          <w:rFonts w:ascii="Verdana" w:hAnsi="Verdana"/>
        </w:rPr>
      </w:pPr>
    </w:p>
    <w:p w14:paraId="5B7EC91D" w14:textId="7A2FC3AF" w:rsidR="00B27EB5" w:rsidRDefault="00B27EB5" w:rsidP="00B27EB5">
      <w:pPr>
        <w:tabs>
          <w:tab w:val="left" w:pos="1574"/>
        </w:tabs>
        <w:spacing w:line="276" w:lineRule="auto"/>
        <w:rPr>
          <w:rFonts w:ascii="Verdana" w:hAnsi="Verdana"/>
          <w:color w:val="000000" w:themeColor="text1"/>
        </w:rPr>
      </w:pPr>
      <w:r w:rsidRPr="001927CF">
        <w:rPr>
          <w:rFonts w:ascii="Verdana" w:hAnsi="Verdana"/>
          <w:color w:val="000000" w:themeColor="text1"/>
        </w:rPr>
        <w:t xml:space="preserve">Most </w:t>
      </w:r>
      <w:r>
        <w:rPr>
          <w:rFonts w:ascii="Verdana" w:hAnsi="Verdana"/>
          <w:color w:val="000000" w:themeColor="text1"/>
        </w:rPr>
        <w:t xml:space="preserve">focus group participants </w:t>
      </w:r>
      <w:r w:rsidRPr="001927CF">
        <w:rPr>
          <w:rFonts w:ascii="Verdana" w:hAnsi="Verdana"/>
          <w:color w:val="000000" w:themeColor="text1"/>
        </w:rPr>
        <w:t>agreed that the pandemic, coupled with the cost-of-living crisis, became a catalyst for wider debate</w:t>
      </w:r>
      <w:r>
        <w:rPr>
          <w:rFonts w:ascii="Verdana" w:hAnsi="Verdana"/>
          <w:color w:val="000000" w:themeColor="text1"/>
        </w:rPr>
        <w:t>s</w:t>
      </w:r>
      <w:r w:rsidRPr="001927CF">
        <w:rPr>
          <w:rFonts w:ascii="Verdana" w:hAnsi="Verdana"/>
          <w:color w:val="000000" w:themeColor="text1"/>
        </w:rPr>
        <w:t xml:space="preserve"> ranging from workload and engagement to the nature of history curricula.</w:t>
      </w:r>
      <w:r>
        <w:rPr>
          <w:rFonts w:ascii="Verdana" w:hAnsi="Verdana"/>
          <w:color w:val="000000" w:themeColor="text1"/>
        </w:rPr>
        <w:t xml:space="preserve"> </w:t>
      </w:r>
      <w:r w:rsidR="0064597A">
        <w:rPr>
          <w:rFonts w:ascii="Verdana" w:hAnsi="Verdana"/>
          <w:color w:val="000000" w:themeColor="text1"/>
        </w:rPr>
        <w:t xml:space="preserve">A very </w:t>
      </w:r>
      <w:r w:rsidR="0064597A">
        <w:rPr>
          <w:rFonts w:ascii="Verdana" w:hAnsi="Verdana"/>
          <w:color w:val="000000" w:themeColor="text1"/>
        </w:rPr>
        <w:lastRenderedPageBreak/>
        <w:t xml:space="preserve">important point was raised as part of this discussion: given the </w:t>
      </w:r>
      <w:r w:rsidR="00F7797C">
        <w:rPr>
          <w:rFonts w:ascii="Verdana" w:hAnsi="Verdana"/>
          <w:color w:val="000000" w:themeColor="text1"/>
        </w:rPr>
        <w:t xml:space="preserve">increased pressures and </w:t>
      </w:r>
      <w:r w:rsidR="00244BB6">
        <w:rPr>
          <w:rFonts w:ascii="Verdana" w:hAnsi="Verdana"/>
          <w:color w:val="000000" w:themeColor="text1"/>
        </w:rPr>
        <w:t xml:space="preserve">constantly evolving </w:t>
      </w:r>
      <w:r w:rsidR="00F7797C">
        <w:rPr>
          <w:rFonts w:ascii="Verdana" w:hAnsi="Verdana"/>
          <w:color w:val="000000" w:themeColor="text1"/>
        </w:rPr>
        <w:t xml:space="preserve">challenges </w:t>
      </w:r>
      <w:r w:rsidR="00244BB6">
        <w:rPr>
          <w:rFonts w:ascii="Verdana" w:hAnsi="Verdana"/>
          <w:color w:val="000000" w:themeColor="text1"/>
        </w:rPr>
        <w:t xml:space="preserve">on the one hand </w:t>
      </w:r>
      <w:r w:rsidR="00F7797C">
        <w:rPr>
          <w:rFonts w:ascii="Verdana" w:hAnsi="Verdana"/>
          <w:color w:val="000000" w:themeColor="text1"/>
        </w:rPr>
        <w:t xml:space="preserve">and the lack of adequate resourcing </w:t>
      </w:r>
      <w:r w:rsidR="00244BB6">
        <w:rPr>
          <w:rFonts w:ascii="Verdana" w:hAnsi="Verdana"/>
          <w:color w:val="000000" w:themeColor="text1"/>
        </w:rPr>
        <w:t>on the other</w:t>
      </w:r>
      <w:r w:rsidR="00F7797C">
        <w:rPr>
          <w:rFonts w:ascii="Verdana" w:hAnsi="Verdana"/>
          <w:color w:val="000000" w:themeColor="text1"/>
        </w:rPr>
        <w:t>, how do we facilitate reflective thinking on pedagogy and the curriculum within wider constraints?</w:t>
      </w:r>
      <w:r w:rsidRPr="00B27EB5">
        <w:rPr>
          <w:rFonts w:ascii="Verdana" w:hAnsi="Verdana"/>
        </w:rPr>
        <w:t xml:space="preserve"> </w:t>
      </w:r>
      <w:r w:rsidRPr="0B4088E5">
        <w:rPr>
          <w:rFonts w:ascii="Verdana" w:hAnsi="Verdana"/>
        </w:rPr>
        <w:t xml:space="preserve">EDI policy within HE needs to address broader political, structural and societal forces. Curriculum reform alone will not resolve social inequalities but nonetheless there is extensive research on EDI and pedagogy and associated initiatives that </w:t>
      </w:r>
      <w:r w:rsidRPr="0B4088E5">
        <w:rPr>
          <w:rFonts w:ascii="Verdana" w:hAnsi="Verdana"/>
          <w:color w:val="000000" w:themeColor="text1"/>
        </w:rPr>
        <w:t xml:space="preserve">can be undertaken to make HE more accessible and inclusive. </w:t>
      </w:r>
    </w:p>
    <w:p w14:paraId="664126B7" w14:textId="77777777" w:rsidR="00594D47" w:rsidRDefault="00594D47" w:rsidP="00594D47">
      <w:pPr>
        <w:spacing w:line="276" w:lineRule="auto"/>
        <w:rPr>
          <w:rFonts w:ascii="Verdana" w:hAnsi="Verdana"/>
          <w:color w:val="FF0000"/>
        </w:rPr>
      </w:pPr>
    </w:p>
    <w:p w14:paraId="3AD39FF8" w14:textId="2401DB55" w:rsidR="00711398" w:rsidRPr="00671A91" w:rsidRDefault="00711398" w:rsidP="00061DE5">
      <w:pPr>
        <w:pStyle w:val="Heading1"/>
        <w:rPr>
          <w:color w:val="FF0000"/>
        </w:rPr>
      </w:pPr>
      <w:r w:rsidRPr="00A254D6">
        <w:t xml:space="preserve">EDI </w:t>
      </w:r>
      <w:r w:rsidR="00E34361" w:rsidRPr="00A254D6">
        <w:t>and</w:t>
      </w:r>
      <w:r w:rsidRPr="00A254D6">
        <w:t xml:space="preserve"> </w:t>
      </w:r>
      <w:r w:rsidR="00E34361" w:rsidRPr="00A254D6">
        <w:t>History Curricula</w:t>
      </w:r>
      <w:r w:rsidR="00671A91">
        <w:t xml:space="preserve"> </w:t>
      </w:r>
    </w:p>
    <w:p w14:paraId="46B982DB" w14:textId="77777777" w:rsidR="008F0B35" w:rsidRDefault="00700B31" w:rsidP="001927CF">
      <w:pPr>
        <w:spacing w:line="276" w:lineRule="auto"/>
        <w:rPr>
          <w:rFonts w:ascii="Verdana" w:hAnsi="Verdana"/>
          <w:color w:val="FF0000"/>
        </w:rPr>
      </w:pPr>
      <w:r w:rsidRPr="0B4088E5">
        <w:rPr>
          <w:rFonts w:ascii="Verdana" w:hAnsi="Verdana"/>
        </w:rPr>
        <w:t xml:space="preserve">Studies have </w:t>
      </w:r>
      <w:r w:rsidR="005A3534">
        <w:rPr>
          <w:rFonts w:ascii="Verdana" w:hAnsi="Verdana"/>
        </w:rPr>
        <w:t>demonstrated</w:t>
      </w:r>
      <w:r w:rsidRPr="0B4088E5">
        <w:rPr>
          <w:rFonts w:ascii="Verdana" w:hAnsi="Verdana"/>
        </w:rPr>
        <w:t xml:space="preserve"> that aspects of curriculum </w:t>
      </w:r>
      <w:r>
        <w:rPr>
          <w:rFonts w:ascii="Verdana" w:hAnsi="Verdana"/>
        </w:rPr>
        <w:t xml:space="preserve">design and delivery can </w:t>
      </w:r>
      <w:r w:rsidRPr="0B4088E5">
        <w:rPr>
          <w:rFonts w:ascii="Verdana" w:hAnsi="Verdana"/>
        </w:rPr>
        <w:t>help</w:t>
      </w:r>
      <w:r>
        <w:rPr>
          <w:rFonts w:ascii="Verdana" w:hAnsi="Verdana"/>
        </w:rPr>
        <w:t xml:space="preserve"> challenge inequality and discrimination</w:t>
      </w:r>
      <w:r w:rsidRPr="0B4088E5">
        <w:rPr>
          <w:rFonts w:ascii="Verdana" w:hAnsi="Verdana"/>
        </w:rPr>
        <w:t xml:space="preserve">. </w:t>
      </w:r>
      <w:r w:rsidR="007C15B0" w:rsidRPr="0B4088E5">
        <w:rPr>
          <w:rFonts w:ascii="Verdana" w:hAnsi="Verdana"/>
          <w:color w:val="000000" w:themeColor="text1"/>
        </w:rPr>
        <w:t>A number of resources and toolkits encourage inclusive curriculum design and delivery, which include reflection on content and approaches to teaching, learning and assessment across all disciplines</w:t>
      </w:r>
      <w:r w:rsidR="007C15B0" w:rsidRPr="00811763">
        <w:rPr>
          <w:rFonts w:ascii="Verdana" w:hAnsi="Verdana"/>
          <w:color w:val="000000" w:themeColor="text1"/>
        </w:rPr>
        <w:t>.</w:t>
      </w:r>
      <w:r w:rsidR="007C15B0" w:rsidRPr="00811763">
        <w:rPr>
          <w:rStyle w:val="FootnoteReference"/>
          <w:rFonts w:ascii="Verdana" w:hAnsi="Verdana"/>
          <w:color w:val="000000" w:themeColor="text1"/>
        </w:rPr>
        <w:footnoteReference w:id="58"/>
      </w:r>
      <w:r w:rsidR="007C15B0" w:rsidRPr="00811763">
        <w:rPr>
          <w:rFonts w:ascii="Verdana" w:hAnsi="Verdana"/>
          <w:color w:val="000000" w:themeColor="text1"/>
        </w:rPr>
        <w:t xml:space="preserve"> An </w:t>
      </w:r>
      <w:hyperlink r:id="rId21">
        <w:r w:rsidR="007C15B0" w:rsidRPr="00811763">
          <w:rPr>
            <w:rStyle w:val="Hyperlink"/>
            <w:rFonts w:ascii="Verdana" w:hAnsi="Verdana"/>
          </w:rPr>
          <w:t>Advance HE resource</w:t>
        </w:r>
      </w:hyperlink>
      <w:r w:rsidR="007C15B0" w:rsidRPr="00811763">
        <w:rPr>
          <w:rFonts w:ascii="Verdana" w:hAnsi="Verdana"/>
          <w:color w:val="FF0000"/>
        </w:rPr>
        <w:t xml:space="preserve"> </w:t>
      </w:r>
      <w:r w:rsidR="007C15B0" w:rsidRPr="00811763">
        <w:rPr>
          <w:rFonts w:ascii="Verdana" w:hAnsi="Verdana"/>
          <w:color w:val="000000" w:themeColor="text1"/>
        </w:rPr>
        <w:t>emphasised that inclusive learning and teaching not only require consideration of curriculum design and delivery (including assessment and feedback) but also institutional commitment. With regards to approaches to learning and teaching, it highlighted the emphasis on student-centred, collaborative approaches ‘in encouraging students from different backgrounds to engage in learning in higher education’</w:t>
      </w:r>
      <w:r w:rsidR="00136902" w:rsidRPr="00811763">
        <w:rPr>
          <w:rFonts w:ascii="Verdana" w:hAnsi="Verdana"/>
          <w:color w:val="000000" w:themeColor="text1"/>
        </w:rPr>
        <w:t>,</w:t>
      </w:r>
      <w:r w:rsidR="007C15B0" w:rsidRPr="00811763">
        <w:rPr>
          <w:rFonts w:ascii="Verdana" w:hAnsi="Verdana"/>
          <w:color w:val="000000" w:themeColor="text1"/>
        </w:rPr>
        <w:t xml:space="preserve"> but that not all students feel comfortable with this. The report also presented a range of institutional case studies and resources, which show inclusive practice in action.</w:t>
      </w:r>
      <w:r w:rsidR="007C15B0" w:rsidRPr="00811763">
        <w:rPr>
          <w:rStyle w:val="FootnoteReference"/>
          <w:rFonts w:ascii="Verdana" w:hAnsi="Verdana"/>
          <w:color w:val="000000" w:themeColor="text1"/>
        </w:rPr>
        <w:footnoteReference w:id="59"/>
      </w:r>
      <w:r w:rsidR="007C15B0" w:rsidRPr="00811763">
        <w:rPr>
          <w:rFonts w:ascii="Verdana" w:hAnsi="Verdana"/>
          <w:color w:val="000000" w:themeColor="text1"/>
        </w:rPr>
        <w:t xml:space="preserve"> </w:t>
      </w:r>
      <w:r w:rsidR="007344BF" w:rsidRPr="00811763">
        <w:rPr>
          <w:rFonts w:ascii="Verdana" w:hAnsi="Verdana"/>
          <w:color w:val="000000" w:themeColor="text1"/>
        </w:rPr>
        <w:t xml:space="preserve"> </w:t>
      </w:r>
      <w:r w:rsidRPr="00811763">
        <w:rPr>
          <w:rFonts w:ascii="Verdana" w:hAnsi="Verdana"/>
        </w:rPr>
        <w:t>Of course, it is important to recognise that what might help one student, or one group of students, may not work for everyone. A flexible and agile approach is needed to enable both clarity and diversity in teaching, learning and assessment method</w:t>
      </w:r>
      <w:r w:rsidRPr="00811763">
        <w:rPr>
          <w:rFonts w:ascii="Verdana" w:hAnsi="Verdana"/>
          <w:color w:val="000000" w:themeColor="text1"/>
        </w:rPr>
        <w:t>s.</w:t>
      </w:r>
      <w:r w:rsidRPr="00811763">
        <w:rPr>
          <w:rStyle w:val="FootnoteReference"/>
          <w:rFonts w:ascii="Verdana" w:hAnsi="Verdana"/>
          <w:color w:val="000000" w:themeColor="text1"/>
        </w:rPr>
        <w:footnoteReference w:id="60"/>
      </w:r>
      <w:r w:rsidRPr="00811763">
        <w:rPr>
          <w:rFonts w:ascii="Verdana" w:hAnsi="Verdana"/>
          <w:color w:val="000000" w:themeColor="text1"/>
        </w:rPr>
        <w:t xml:space="preserve"> </w:t>
      </w:r>
    </w:p>
    <w:p w14:paraId="5CF8BE09" w14:textId="77777777" w:rsidR="008F0B35" w:rsidRDefault="008F0B35" w:rsidP="008F0B35">
      <w:pPr>
        <w:spacing w:line="276" w:lineRule="auto"/>
        <w:rPr>
          <w:rFonts w:ascii="Verdana" w:hAnsi="Verdana"/>
        </w:rPr>
      </w:pPr>
    </w:p>
    <w:p w14:paraId="4D9F4253" w14:textId="5CCDD09D" w:rsidR="008F0B35" w:rsidRPr="00926A06" w:rsidRDefault="008F0B35" w:rsidP="008F0B35">
      <w:pPr>
        <w:spacing w:line="276" w:lineRule="auto"/>
        <w:rPr>
          <w:rFonts w:ascii="Verdana" w:hAnsi="Verdana"/>
          <w:color w:val="000000" w:themeColor="text1"/>
        </w:rPr>
      </w:pPr>
      <w:r w:rsidRPr="00926A06">
        <w:rPr>
          <w:rFonts w:ascii="Verdana" w:hAnsi="Verdana"/>
          <w:color w:val="000000" w:themeColor="text1"/>
        </w:rPr>
        <w:t>Subject specific research about teaching history in higher education has also addressed questions of EDI. Alan Booth argued that students should be enabled to ‘connect their lives to the topics covered and experience the learning not merely in transactional terms but as a personal journey of self that involves mind, emotion and body’.</w:t>
      </w:r>
      <w:r w:rsidRPr="00926A06">
        <w:rPr>
          <w:rStyle w:val="FootnoteReference"/>
          <w:rFonts w:ascii="Verdana" w:hAnsi="Verdana"/>
          <w:color w:val="000000" w:themeColor="text1"/>
        </w:rPr>
        <w:footnoteReference w:id="61"/>
      </w:r>
      <w:r w:rsidRPr="00926A06">
        <w:rPr>
          <w:rFonts w:ascii="Verdana" w:hAnsi="Verdana"/>
          <w:color w:val="000000" w:themeColor="text1"/>
        </w:rPr>
        <w:t xml:space="preserve"> </w:t>
      </w:r>
      <w:r w:rsidRPr="00926A06">
        <w:rPr>
          <w:rFonts w:ascii="Verdana" w:hAnsi="Verdana"/>
          <w:i/>
          <w:iCs/>
          <w:color w:val="000000" w:themeColor="text1"/>
        </w:rPr>
        <w:t>Teaching History for the contemporary world</w:t>
      </w:r>
      <w:r w:rsidRPr="00926A06">
        <w:rPr>
          <w:rFonts w:ascii="Verdana" w:hAnsi="Verdana"/>
          <w:color w:val="000000" w:themeColor="text1"/>
        </w:rPr>
        <w:t xml:space="preserve"> (April 2021) explores the connections between teaching history in HE and social justice.</w:t>
      </w:r>
      <w:r w:rsidRPr="00926A06">
        <w:rPr>
          <w:rStyle w:val="FootnoteReference"/>
          <w:rFonts w:ascii="Verdana" w:hAnsi="Verdana"/>
          <w:color w:val="000000" w:themeColor="text1"/>
        </w:rPr>
        <w:footnoteReference w:id="62"/>
      </w:r>
      <w:r w:rsidRPr="00926A06">
        <w:rPr>
          <w:rFonts w:ascii="Verdana" w:hAnsi="Verdana"/>
          <w:color w:val="000000" w:themeColor="text1"/>
        </w:rPr>
        <w:t xml:space="preserve"> </w:t>
      </w:r>
      <w:proofErr w:type="spellStart"/>
      <w:r w:rsidRPr="00926A06">
        <w:rPr>
          <w:rFonts w:ascii="Verdana" w:hAnsi="Verdana"/>
          <w:color w:val="000000" w:themeColor="text1"/>
        </w:rPr>
        <w:t>Onni</w:t>
      </w:r>
      <w:proofErr w:type="spellEnd"/>
      <w:r w:rsidRPr="00926A06">
        <w:rPr>
          <w:rFonts w:ascii="Verdana" w:hAnsi="Verdana"/>
          <w:color w:val="000000" w:themeColor="text1"/>
        </w:rPr>
        <w:t xml:space="preserve"> Gust’s chapter emphasises the need to foreground difference: ‘To start from the assumption that the class is full of different identities, experiences, needs and ways of learning is to make difference, rather than sameness, the norm’. They acknowledge that ‘we will never fully escape the wider structural inequalities that bes</w:t>
      </w:r>
      <w:r w:rsidR="00803AB0" w:rsidRPr="00926A06">
        <w:rPr>
          <w:rFonts w:ascii="Verdana" w:hAnsi="Verdana"/>
          <w:color w:val="000000" w:themeColor="text1"/>
        </w:rPr>
        <w:t>e</w:t>
      </w:r>
      <w:r w:rsidRPr="00926A06">
        <w:rPr>
          <w:rFonts w:ascii="Verdana" w:hAnsi="Verdana"/>
          <w:color w:val="000000" w:themeColor="text1"/>
        </w:rPr>
        <w:t>t higher education and society at large’ but that it is possible to show an awareness of the wider challenges and difficulties faced and a willingness to do what is feasible. Gust concludes that ‘It is a matter of urgency that the history discipline reads, incorporates into the curriculum, and hires people and perspectives that have been historically excluded or marginalised from the discipline’.</w:t>
      </w:r>
      <w:r w:rsidRPr="00926A06">
        <w:rPr>
          <w:rStyle w:val="FootnoteReference"/>
          <w:rFonts w:ascii="Verdana" w:hAnsi="Verdana"/>
          <w:color w:val="000000" w:themeColor="text1"/>
        </w:rPr>
        <w:footnoteReference w:id="63"/>
      </w:r>
    </w:p>
    <w:p w14:paraId="6A876F67" w14:textId="05A7F591" w:rsidR="008F0B35" w:rsidRDefault="008F0B35" w:rsidP="001927CF">
      <w:pPr>
        <w:spacing w:line="276" w:lineRule="auto"/>
        <w:rPr>
          <w:rFonts w:ascii="Verdana" w:hAnsi="Verdana"/>
          <w:color w:val="FF0000"/>
        </w:rPr>
      </w:pPr>
      <w:r w:rsidRPr="00926A06">
        <w:rPr>
          <w:rFonts w:ascii="Verdana" w:hAnsi="Verdana"/>
          <w:color w:val="000000" w:themeColor="text1"/>
        </w:rPr>
        <w:t xml:space="preserve">Gust also explored ‘traditional disciplinary norms of history’ </w:t>
      </w:r>
      <w:r w:rsidR="0032250D">
        <w:rPr>
          <w:rFonts w:ascii="Verdana" w:hAnsi="Verdana"/>
          <w:color w:val="000000" w:themeColor="text1"/>
        </w:rPr>
        <w:t>in relation to</w:t>
      </w:r>
      <w:r w:rsidRPr="00926A06">
        <w:rPr>
          <w:rFonts w:ascii="Verdana" w:hAnsi="Verdana"/>
          <w:color w:val="000000" w:themeColor="text1"/>
        </w:rPr>
        <w:t xml:space="preserve"> objectivity and </w:t>
      </w:r>
      <w:r w:rsidR="0032250D">
        <w:rPr>
          <w:rFonts w:ascii="Verdana" w:hAnsi="Verdana"/>
          <w:color w:val="000000" w:themeColor="text1"/>
        </w:rPr>
        <w:t xml:space="preserve">discussed </w:t>
      </w:r>
      <w:r w:rsidRPr="00926A06">
        <w:rPr>
          <w:rFonts w:ascii="Verdana" w:hAnsi="Verdana"/>
          <w:color w:val="000000" w:themeColor="text1"/>
        </w:rPr>
        <w:t>how demands to ‘view the past with a sense of distance and relativism’ are ‘profoundly alienating, if not re-traumatising, for minoritized students’.</w:t>
      </w:r>
      <w:r w:rsidRPr="00926A06">
        <w:rPr>
          <w:rStyle w:val="FootnoteReference"/>
          <w:rFonts w:ascii="Verdana" w:hAnsi="Verdana"/>
          <w:color w:val="000000" w:themeColor="text1"/>
        </w:rPr>
        <w:footnoteReference w:id="64"/>
      </w:r>
      <w:r w:rsidRPr="00926A06">
        <w:rPr>
          <w:rFonts w:ascii="Verdana" w:hAnsi="Verdana"/>
          <w:color w:val="000000" w:themeColor="text1"/>
        </w:rPr>
        <w:t xml:space="preserve"> </w:t>
      </w:r>
      <w:r w:rsidR="00CB12F2">
        <w:rPr>
          <w:rFonts w:ascii="Verdana" w:hAnsi="Verdana"/>
          <w:color w:val="000000" w:themeColor="text1"/>
        </w:rPr>
        <w:t xml:space="preserve">Mark </w:t>
      </w:r>
      <w:r w:rsidRPr="00926A06">
        <w:rPr>
          <w:rFonts w:ascii="Verdana" w:hAnsi="Verdana" w:cs="Open Sans"/>
          <w:color w:val="000000" w:themeColor="text1"/>
        </w:rPr>
        <w:t xml:space="preserve">Hinton and </w:t>
      </w:r>
      <w:proofErr w:type="spellStart"/>
      <w:r w:rsidR="00CB12F2">
        <w:rPr>
          <w:rFonts w:ascii="Verdana" w:hAnsi="Verdana" w:cs="Open Sans"/>
          <w:color w:val="000000" w:themeColor="text1"/>
        </w:rPr>
        <w:t>Meleisa</w:t>
      </w:r>
      <w:proofErr w:type="spellEnd"/>
      <w:r w:rsidR="00CB12F2">
        <w:rPr>
          <w:rFonts w:ascii="Verdana" w:hAnsi="Verdana" w:cs="Open Sans"/>
          <w:color w:val="000000" w:themeColor="text1"/>
        </w:rPr>
        <w:t xml:space="preserve"> </w:t>
      </w:r>
      <w:r w:rsidRPr="00926A06">
        <w:rPr>
          <w:rFonts w:ascii="Verdana" w:hAnsi="Verdana" w:cs="Open Sans"/>
          <w:color w:val="000000" w:themeColor="text1"/>
        </w:rPr>
        <w:t>Ono-George, reflecting on the challenges and successes of designing and co-teaching an interdisciplinary module on the history of race and racism and its legacies, noted that ‘One of the dangers of teaching histories of race, and in particular racial violence, without considering contemporary racism is that you can easily end up detaching these historic acts from their legacies in contemporary society and in the lived experiences of those in the classroom’.</w:t>
      </w:r>
      <w:r w:rsidRPr="00926A06">
        <w:rPr>
          <w:rStyle w:val="FootnoteReference"/>
          <w:rFonts w:ascii="Verdana" w:hAnsi="Verdana" w:cs="Open Sans"/>
          <w:color w:val="000000" w:themeColor="text1"/>
        </w:rPr>
        <w:t xml:space="preserve"> </w:t>
      </w:r>
      <w:r w:rsidRPr="00926A06">
        <w:rPr>
          <w:rStyle w:val="FootnoteReference"/>
          <w:rFonts w:ascii="Verdana" w:hAnsi="Verdana" w:cs="Open Sans"/>
          <w:color w:val="000000" w:themeColor="text1"/>
        </w:rPr>
        <w:footnoteReference w:id="65"/>
      </w:r>
      <w:r w:rsidRPr="00926A06">
        <w:rPr>
          <w:rFonts w:ascii="Verdana" w:hAnsi="Verdana" w:cs="Open Sans"/>
          <w:color w:val="000000" w:themeColor="text1"/>
        </w:rPr>
        <w:t xml:space="preserve"> In discussing the application of anti-racist pedagogy, </w:t>
      </w:r>
      <w:r w:rsidRPr="00926A06">
        <w:rPr>
          <w:rFonts w:ascii="Verdana" w:hAnsi="Verdana" w:cs="Open Sans"/>
          <w:color w:val="000000" w:themeColor="text1"/>
        </w:rPr>
        <w:lastRenderedPageBreak/>
        <w:t>they note the importance of creating space for students to share their understandings of race and racism, valuing the student voice and experience, and challenging traditional pedagogical practices. Ultimately, they argue that learning should ‘transform the way both the teacher and student think and operate outside the classroom’.</w:t>
      </w:r>
      <w:r w:rsidRPr="00926A06">
        <w:rPr>
          <w:rStyle w:val="FootnoteReference"/>
          <w:rFonts w:ascii="Verdana" w:hAnsi="Verdana" w:cs="Open Sans"/>
          <w:color w:val="000000" w:themeColor="text1"/>
        </w:rPr>
        <w:footnoteReference w:id="66"/>
      </w:r>
    </w:p>
    <w:p w14:paraId="7E26CEA3" w14:textId="471422CA" w:rsidR="000713F0" w:rsidRPr="007344BF" w:rsidRDefault="000713F0" w:rsidP="001927CF">
      <w:pPr>
        <w:spacing w:line="276" w:lineRule="auto"/>
        <w:rPr>
          <w:rFonts w:ascii="Verdana" w:hAnsi="Verdana"/>
          <w:color w:val="000000" w:themeColor="text1"/>
        </w:rPr>
      </w:pPr>
      <w:r w:rsidRPr="00A254D6">
        <w:rPr>
          <w:rFonts w:ascii="Verdana" w:hAnsi="Verdana"/>
          <w:color w:val="000000" w:themeColor="text1"/>
        </w:rPr>
        <w:t>Participants</w:t>
      </w:r>
      <w:r w:rsidR="005A3534">
        <w:rPr>
          <w:rFonts w:ascii="Verdana" w:hAnsi="Verdana"/>
          <w:color w:val="000000" w:themeColor="text1"/>
        </w:rPr>
        <w:t xml:space="preserve"> in our focus groups</w:t>
      </w:r>
      <w:r w:rsidRPr="00A254D6">
        <w:rPr>
          <w:rFonts w:ascii="Verdana" w:hAnsi="Verdana"/>
          <w:color w:val="000000" w:themeColor="text1"/>
        </w:rPr>
        <w:t xml:space="preserve"> highlighted a range of ways in which</w:t>
      </w:r>
      <w:r w:rsidR="00711398" w:rsidRPr="00A254D6">
        <w:rPr>
          <w:rFonts w:ascii="Verdana" w:hAnsi="Verdana"/>
          <w:color w:val="000000" w:themeColor="text1"/>
        </w:rPr>
        <w:t xml:space="preserve"> </w:t>
      </w:r>
      <w:r w:rsidRPr="00A254D6">
        <w:rPr>
          <w:rFonts w:ascii="Verdana" w:hAnsi="Verdana"/>
          <w:color w:val="000000" w:themeColor="text1"/>
        </w:rPr>
        <w:t>c</w:t>
      </w:r>
      <w:r w:rsidR="00711398" w:rsidRPr="00A254D6">
        <w:rPr>
          <w:rFonts w:ascii="Verdana" w:hAnsi="Verdana"/>
          <w:color w:val="000000" w:themeColor="text1"/>
        </w:rPr>
        <w:t xml:space="preserve">urriculum design </w:t>
      </w:r>
      <w:r w:rsidRPr="00A254D6">
        <w:rPr>
          <w:rFonts w:ascii="Verdana" w:hAnsi="Verdana"/>
          <w:color w:val="000000" w:themeColor="text1"/>
        </w:rPr>
        <w:t xml:space="preserve">could support EDI work, emphasising the role that history specifically played. Discussion focussed on the drive for more inclusive curricula and what this meant in practice for history, the ways in which we teach </w:t>
      </w:r>
      <w:r w:rsidR="00D77CCF" w:rsidRPr="00A254D6">
        <w:rPr>
          <w:rFonts w:ascii="Verdana" w:hAnsi="Verdana"/>
          <w:color w:val="000000" w:themeColor="text1"/>
        </w:rPr>
        <w:t xml:space="preserve">and assess </w:t>
      </w:r>
      <w:r w:rsidRPr="00A254D6">
        <w:rPr>
          <w:rFonts w:ascii="Verdana" w:hAnsi="Verdana"/>
          <w:color w:val="000000" w:themeColor="text1"/>
        </w:rPr>
        <w:t>history as well as what we teach</w:t>
      </w:r>
      <w:r w:rsidR="00D77CCF" w:rsidRPr="00A254D6">
        <w:rPr>
          <w:rFonts w:ascii="Verdana" w:hAnsi="Verdana"/>
          <w:color w:val="000000" w:themeColor="text1"/>
        </w:rPr>
        <w:t xml:space="preserve"> and assess</w:t>
      </w:r>
      <w:r w:rsidRPr="00A254D6">
        <w:rPr>
          <w:rFonts w:ascii="Verdana" w:hAnsi="Verdana"/>
          <w:color w:val="000000" w:themeColor="text1"/>
        </w:rPr>
        <w:t xml:space="preserve">, </w:t>
      </w:r>
      <w:r w:rsidR="00A254D6" w:rsidRPr="00A254D6">
        <w:rPr>
          <w:rFonts w:ascii="Verdana" w:hAnsi="Verdana"/>
          <w:color w:val="000000" w:themeColor="text1"/>
        </w:rPr>
        <w:t xml:space="preserve">and </w:t>
      </w:r>
      <w:r w:rsidRPr="00A254D6">
        <w:rPr>
          <w:rFonts w:ascii="Verdana" w:hAnsi="Verdana"/>
          <w:color w:val="000000" w:themeColor="text1"/>
        </w:rPr>
        <w:t>the ways in which history curricula could be used to address some EDI issues</w:t>
      </w:r>
      <w:r w:rsidR="000E002B">
        <w:rPr>
          <w:rFonts w:ascii="Verdana" w:hAnsi="Verdana"/>
          <w:color w:val="000000" w:themeColor="text1"/>
        </w:rPr>
        <w:t xml:space="preserve"> and enhance</w:t>
      </w:r>
      <w:r w:rsidR="000E002B" w:rsidRPr="00A254D6">
        <w:rPr>
          <w:rFonts w:ascii="Verdana" w:hAnsi="Verdana"/>
          <w:color w:val="000000" w:themeColor="text1"/>
        </w:rPr>
        <w:t xml:space="preserve"> student experience</w:t>
      </w:r>
      <w:r w:rsidRPr="00A254D6">
        <w:rPr>
          <w:rFonts w:ascii="Verdana" w:hAnsi="Verdana"/>
          <w:color w:val="000000" w:themeColor="text1"/>
        </w:rPr>
        <w:t xml:space="preserve">. </w:t>
      </w:r>
    </w:p>
    <w:p w14:paraId="4A455093" w14:textId="77777777" w:rsidR="008F0B3B" w:rsidRDefault="008F0B3B" w:rsidP="001927CF">
      <w:pPr>
        <w:spacing w:line="276" w:lineRule="auto"/>
        <w:rPr>
          <w:rFonts w:ascii="Verdana" w:hAnsi="Verdana"/>
          <w:color w:val="FF0000"/>
        </w:rPr>
      </w:pPr>
    </w:p>
    <w:p w14:paraId="042FD1FE" w14:textId="77777777" w:rsidR="00282F4B" w:rsidRPr="001927CF" w:rsidRDefault="00282F4B" w:rsidP="001927CF">
      <w:pPr>
        <w:spacing w:line="276" w:lineRule="auto"/>
        <w:rPr>
          <w:rFonts w:ascii="Verdana" w:hAnsi="Verdana"/>
          <w:color w:val="FF0000"/>
        </w:rPr>
      </w:pPr>
    </w:p>
    <w:p w14:paraId="1B0DF6E9" w14:textId="77777777" w:rsidR="00DC75EF" w:rsidRPr="004361FB" w:rsidRDefault="008F0B3B" w:rsidP="00061DE5">
      <w:pPr>
        <w:pStyle w:val="Heading1"/>
      </w:pPr>
      <w:r w:rsidRPr="00BE5392">
        <w:t>Drive for more inclusive curricula</w:t>
      </w:r>
      <w:r w:rsidR="00DC75EF" w:rsidRPr="00BE5392">
        <w:t xml:space="preserve">: </w:t>
      </w:r>
      <w:r w:rsidR="00DC75EF" w:rsidRPr="004361FB">
        <w:t xml:space="preserve">Diversifying and decolonising the </w:t>
      </w:r>
      <w:proofErr w:type="gramStart"/>
      <w:r w:rsidR="00DC75EF" w:rsidRPr="004361FB">
        <w:t>curriculum</w:t>
      </w:r>
      <w:proofErr w:type="gramEnd"/>
      <w:r w:rsidR="00DC75EF" w:rsidRPr="004361FB">
        <w:t xml:space="preserve"> </w:t>
      </w:r>
    </w:p>
    <w:p w14:paraId="69FCF1C6" w14:textId="247251CF" w:rsidR="00DC75EF" w:rsidRDefault="00DC75EF" w:rsidP="001927CF">
      <w:pPr>
        <w:spacing w:line="276" w:lineRule="auto"/>
        <w:rPr>
          <w:rFonts w:ascii="Verdana" w:hAnsi="Verdana"/>
          <w:color w:val="000000" w:themeColor="text1"/>
        </w:rPr>
      </w:pPr>
      <w:r w:rsidRPr="001927CF">
        <w:rPr>
          <w:rFonts w:ascii="Verdana" w:hAnsi="Verdana"/>
          <w:color w:val="000000" w:themeColor="text1"/>
        </w:rPr>
        <w:t>All participants identified this as a key priority in their departments</w:t>
      </w:r>
      <w:r>
        <w:rPr>
          <w:rFonts w:ascii="Verdana" w:hAnsi="Verdana"/>
          <w:color w:val="000000" w:themeColor="text1"/>
        </w:rPr>
        <w:t xml:space="preserve">, </w:t>
      </w:r>
      <w:proofErr w:type="gramStart"/>
      <w:r>
        <w:rPr>
          <w:rFonts w:ascii="Verdana" w:hAnsi="Verdana"/>
          <w:color w:val="000000" w:themeColor="text1"/>
        </w:rPr>
        <w:t>units</w:t>
      </w:r>
      <w:proofErr w:type="gramEnd"/>
      <w:r>
        <w:rPr>
          <w:rFonts w:ascii="Verdana" w:hAnsi="Verdana"/>
          <w:color w:val="000000" w:themeColor="text1"/>
        </w:rPr>
        <w:t xml:space="preserve"> or </w:t>
      </w:r>
      <w:r w:rsidRPr="001927CF">
        <w:rPr>
          <w:rFonts w:ascii="Verdana" w:hAnsi="Verdana"/>
          <w:color w:val="000000" w:themeColor="text1"/>
        </w:rPr>
        <w:t>institutions.</w:t>
      </w:r>
      <w:r>
        <w:rPr>
          <w:rFonts w:ascii="Verdana" w:hAnsi="Verdana"/>
          <w:color w:val="000000" w:themeColor="text1"/>
        </w:rPr>
        <w:t xml:space="preserve"> Movements such as </w:t>
      </w:r>
      <w:r>
        <w:rPr>
          <w:rFonts w:ascii="Verdana" w:eastAsia="Verdana" w:hAnsi="Verdana" w:cs="Verdana"/>
          <w:color w:val="000000" w:themeColor="text1"/>
        </w:rPr>
        <w:t>t</w:t>
      </w:r>
      <w:r w:rsidRPr="0B4088E5">
        <w:rPr>
          <w:rFonts w:ascii="Verdana" w:eastAsia="Verdana" w:hAnsi="Verdana" w:cs="Verdana"/>
          <w:color w:val="000000" w:themeColor="text1"/>
        </w:rPr>
        <w:t>he ‘Why is my curriculum white?’ campaign</w:t>
      </w:r>
      <w:r>
        <w:rPr>
          <w:rFonts w:ascii="Verdana" w:eastAsia="Verdana" w:hAnsi="Verdana" w:cs="Verdana"/>
          <w:color w:val="000000" w:themeColor="text1"/>
        </w:rPr>
        <w:t>,</w:t>
      </w:r>
      <w:r w:rsidRPr="0B4088E5">
        <w:rPr>
          <w:rFonts w:ascii="Verdana" w:eastAsia="Verdana" w:hAnsi="Verdana" w:cs="Verdana"/>
          <w:color w:val="000000" w:themeColor="text1"/>
        </w:rPr>
        <w:t xml:space="preserve"> launched at University College London (UCL) in 2014</w:t>
      </w:r>
      <w:r>
        <w:rPr>
          <w:rFonts w:ascii="Verdana" w:eastAsia="Verdana" w:hAnsi="Verdana" w:cs="Verdana"/>
          <w:color w:val="000000" w:themeColor="text1"/>
        </w:rPr>
        <w:t>, and Black Lives Matter, founded in 2013, and more recently the death of George Floyd (2020) and the toppling of the Edward Colston statue (2020) have given momentum to endeavours to decolonise the curriculum.</w:t>
      </w:r>
      <w:r>
        <w:rPr>
          <w:rStyle w:val="FootnoteReference"/>
          <w:rFonts w:ascii="Verdana" w:eastAsia="Verdana" w:hAnsi="Verdana" w:cs="Verdana"/>
          <w:color w:val="000000" w:themeColor="text1"/>
        </w:rPr>
        <w:footnoteReference w:id="67"/>
      </w:r>
      <w:r>
        <w:rPr>
          <w:rFonts w:ascii="Verdana" w:eastAsia="Verdana" w:hAnsi="Verdana" w:cs="Verdana"/>
          <w:color w:val="000000" w:themeColor="text1"/>
        </w:rPr>
        <w:t xml:space="preserve"> HE has responded in different ways, with </w:t>
      </w:r>
      <w:r w:rsidRPr="0B4088E5">
        <w:rPr>
          <w:rFonts w:ascii="Verdana" w:eastAsia="Verdana" w:hAnsi="Verdana" w:cs="Verdana"/>
          <w:color w:val="000000" w:themeColor="text1"/>
        </w:rPr>
        <w:t>both institutional responses and with staff- and student-led initiatives.</w:t>
      </w:r>
      <w:r>
        <w:rPr>
          <w:rStyle w:val="FootnoteReference"/>
          <w:rFonts w:ascii="Verdana" w:eastAsia="Verdana" w:hAnsi="Verdana" w:cs="Verdana"/>
          <w:color w:val="000000" w:themeColor="text1"/>
        </w:rPr>
        <w:footnoteReference w:id="68"/>
      </w:r>
      <w:r>
        <w:rPr>
          <w:rFonts w:ascii="Verdana" w:eastAsia="Verdana" w:hAnsi="Verdana" w:cs="Verdana"/>
          <w:color w:val="000000" w:themeColor="text1"/>
        </w:rPr>
        <w:t xml:space="preserve"> Although these have had varying success, participants felt that this had largely not been affected by the pandemic. </w:t>
      </w:r>
    </w:p>
    <w:p w14:paraId="073309EA" w14:textId="77777777" w:rsidR="00DC75EF" w:rsidRDefault="00DC75EF" w:rsidP="00DC75EF">
      <w:pPr>
        <w:spacing w:line="276" w:lineRule="auto"/>
        <w:rPr>
          <w:rFonts w:ascii="Verdana" w:hAnsi="Verdana"/>
          <w:color w:val="000000" w:themeColor="text1"/>
        </w:rPr>
      </w:pPr>
    </w:p>
    <w:p w14:paraId="4C101B04" w14:textId="0EA6B521" w:rsidR="00DC75EF" w:rsidRDefault="00DC75EF" w:rsidP="00DC75EF">
      <w:pPr>
        <w:spacing w:line="276" w:lineRule="auto"/>
        <w:rPr>
          <w:rFonts w:ascii="Verdana" w:hAnsi="Verdana"/>
          <w:color w:val="000000" w:themeColor="text1"/>
        </w:rPr>
      </w:pPr>
      <w:r w:rsidRPr="001927CF">
        <w:rPr>
          <w:rFonts w:ascii="Verdana" w:hAnsi="Verdana"/>
          <w:color w:val="000000" w:themeColor="text1"/>
        </w:rPr>
        <w:t>Some participants talked about a preference for ‘diversifying</w:t>
      </w:r>
      <w:r w:rsidR="009E6CA2">
        <w:rPr>
          <w:rFonts w:ascii="Verdana" w:hAnsi="Verdana"/>
          <w:color w:val="000000" w:themeColor="text1"/>
        </w:rPr>
        <w:t xml:space="preserve">’ rather </w:t>
      </w:r>
      <w:r w:rsidRPr="001927CF">
        <w:rPr>
          <w:rFonts w:ascii="Verdana" w:hAnsi="Verdana"/>
          <w:color w:val="000000" w:themeColor="text1"/>
        </w:rPr>
        <w:t xml:space="preserve">than </w:t>
      </w:r>
      <w:r>
        <w:rPr>
          <w:rFonts w:ascii="Verdana" w:hAnsi="Verdana"/>
          <w:color w:val="000000" w:themeColor="text1"/>
        </w:rPr>
        <w:t>‘</w:t>
      </w:r>
      <w:r w:rsidRPr="001927CF">
        <w:rPr>
          <w:rFonts w:ascii="Verdana" w:hAnsi="Verdana"/>
          <w:color w:val="000000" w:themeColor="text1"/>
        </w:rPr>
        <w:t>decolonising</w:t>
      </w:r>
      <w:r w:rsidR="009E6CA2">
        <w:rPr>
          <w:rFonts w:ascii="Verdana" w:hAnsi="Verdana"/>
          <w:color w:val="000000" w:themeColor="text1"/>
        </w:rPr>
        <w:t>’</w:t>
      </w:r>
      <w:r w:rsidRPr="001927CF">
        <w:rPr>
          <w:rFonts w:ascii="Verdana" w:hAnsi="Verdana"/>
          <w:color w:val="000000" w:themeColor="text1"/>
        </w:rPr>
        <w:t xml:space="preserve"> the curriculum. This was recognised as potentially </w:t>
      </w:r>
      <w:r w:rsidRPr="001927CF">
        <w:rPr>
          <w:rFonts w:ascii="Verdana" w:hAnsi="Verdana"/>
          <w:color w:val="000000" w:themeColor="text1"/>
        </w:rPr>
        <w:lastRenderedPageBreak/>
        <w:t xml:space="preserve">problematic but important because they felt that often it was diversification rather than decolonisation that was taking place. On reflection, it was speculated as to whether this was due to a focus on what we teach rather than how we teach in some instances. In addition, one participant noted that ‘vastly diverging views on what was meant’ by decolonising the curriculum could hinder action on anything. It was noted that there tended to be widespread support for first-year curriculum reform that embraced ‘decolonisation’ but not necessarily beyond. In part this was associated with autonomy over modules but also related back to varying definitions and interpretations. Programme level curriculum reform, together with greater understanding </w:t>
      </w:r>
      <w:r>
        <w:rPr>
          <w:rFonts w:ascii="Verdana" w:hAnsi="Verdana"/>
          <w:color w:val="000000" w:themeColor="text1"/>
        </w:rPr>
        <w:t>of the importance of</w:t>
      </w:r>
      <w:r w:rsidRPr="001927CF">
        <w:rPr>
          <w:rFonts w:ascii="Verdana" w:hAnsi="Verdana"/>
          <w:color w:val="000000" w:themeColor="text1"/>
        </w:rPr>
        <w:t xml:space="preserve"> how we teach as well as what we teach, were seen as potential ways in addressing these challenges. </w:t>
      </w:r>
    </w:p>
    <w:p w14:paraId="20E94D75" w14:textId="77777777" w:rsidR="00DC75EF" w:rsidRDefault="00DC75EF" w:rsidP="00DC75EF">
      <w:pPr>
        <w:spacing w:line="276" w:lineRule="auto"/>
        <w:rPr>
          <w:rFonts w:ascii="Verdana" w:hAnsi="Verdana"/>
          <w:color w:val="000000" w:themeColor="text1"/>
        </w:rPr>
      </w:pPr>
    </w:p>
    <w:p w14:paraId="314D55A6" w14:textId="2E28C5D4" w:rsidR="00DC75EF" w:rsidRPr="00AB5086" w:rsidRDefault="00DC75EF" w:rsidP="00DC75EF">
      <w:pPr>
        <w:spacing w:line="276" w:lineRule="auto"/>
        <w:rPr>
          <w:rFonts w:ascii="Verdana" w:hAnsi="Verdana"/>
        </w:rPr>
      </w:pPr>
      <w:r w:rsidRPr="001927CF">
        <w:rPr>
          <w:rFonts w:ascii="Verdana" w:hAnsi="Verdana"/>
          <w:color w:val="000000" w:themeColor="text1"/>
        </w:rPr>
        <w:t xml:space="preserve">Participants welcomed an increasing emphasis on anti-racist pedagogy as a way to move discussion and practice away from not only </w:t>
      </w:r>
      <w:r w:rsidRPr="007A7C20">
        <w:rPr>
          <w:rFonts w:ascii="Verdana" w:hAnsi="Verdana"/>
          <w:b/>
          <w:bCs/>
          <w:color w:val="000000" w:themeColor="text1"/>
        </w:rPr>
        <w:t>what</w:t>
      </w:r>
      <w:r w:rsidRPr="001927CF">
        <w:rPr>
          <w:rFonts w:ascii="Verdana" w:hAnsi="Verdana"/>
          <w:color w:val="000000" w:themeColor="text1"/>
        </w:rPr>
        <w:t xml:space="preserve"> we teach but also </w:t>
      </w:r>
      <w:r w:rsidRPr="007A7C20">
        <w:rPr>
          <w:rFonts w:ascii="Verdana" w:hAnsi="Verdana"/>
          <w:b/>
          <w:bCs/>
          <w:color w:val="000000" w:themeColor="text1"/>
        </w:rPr>
        <w:t>how</w:t>
      </w:r>
      <w:r w:rsidRPr="001927CF">
        <w:rPr>
          <w:rFonts w:ascii="Verdana" w:hAnsi="Verdana"/>
          <w:color w:val="000000" w:themeColor="text1"/>
        </w:rPr>
        <w:t xml:space="preserve"> we teach.</w:t>
      </w:r>
      <w:r>
        <w:rPr>
          <w:rFonts w:ascii="Verdana" w:hAnsi="Verdana"/>
          <w:color w:val="000000" w:themeColor="text1"/>
        </w:rPr>
        <w:t xml:space="preserve"> </w:t>
      </w:r>
      <w:r w:rsidR="00AB5086" w:rsidRPr="00AF7AEA">
        <w:rPr>
          <w:rFonts w:ascii="Verdana" w:hAnsi="Verdana"/>
          <w:color w:val="000000" w:themeColor="text1"/>
        </w:rPr>
        <w:t>As Ono-George emphasises ‘You do not have to teach a module directly related to race or racism in order to employ anti-racist pedagogy’. Moreover, ‘teaching a module that is explicitly about people of colour or empire does not automatically mean it engages an anti-racist approach to teaching’. Ono-George stresses ‘Racial equality will only be achieved if we are willing to change the very structure and pedagogy of our classrooms, adopting critical and engaged anti-racist pedagogical practice’.</w:t>
      </w:r>
      <w:r w:rsidR="00AB5086" w:rsidRPr="00AF7AEA">
        <w:rPr>
          <w:rStyle w:val="FootnoteReference"/>
          <w:rFonts w:ascii="Verdana" w:hAnsi="Verdana"/>
          <w:color w:val="000000" w:themeColor="text1"/>
        </w:rPr>
        <w:footnoteReference w:id="69"/>
      </w:r>
      <w:r w:rsidR="00AB5086" w:rsidRPr="00AF7AEA">
        <w:rPr>
          <w:rFonts w:ascii="Verdana" w:hAnsi="Verdana"/>
          <w:color w:val="000000" w:themeColor="text1"/>
        </w:rPr>
        <w:t xml:space="preserve"> </w:t>
      </w:r>
      <w:r w:rsidR="00AB5086" w:rsidRPr="00AF7AEA">
        <w:rPr>
          <w:rFonts w:ascii="Verdana" w:hAnsi="Verdana"/>
        </w:rPr>
        <w:t>Principles of anti-racist pedagogy include fostering critical thinking, encouraging staff and students to be self-reflective of their positionality, valuing student contributions, enabling students to put theory into practice, and facilitating peer communities through collaborative learning.</w:t>
      </w:r>
      <w:r w:rsidR="00AB5086">
        <w:rPr>
          <w:rFonts w:ascii="Verdana" w:hAnsi="Verdana"/>
        </w:rPr>
        <w:t xml:space="preserve"> </w:t>
      </w:r>
      <w:r w:rsidR="00AB5086" w:rsidRPr="00AF7AEA">
        <w:rPr>
          <w:rFonts w:ascii="Verdana" w:hAnsi="Verdana"/>
        </w:rPr>
        <w:t xml:space="preserve">Inclusive teaching often emphasises the need for staff to give up or share some power and authority in the classroom ‘so that students can experience a greater sense of ownership and choice over their learning’, but </w:t>
      </w:r>
      <w:proofErr w:type="spellStart"/>
      <w:r w:rsidR="00BE1A55">
        <w:rPr>
          <w:rFonts w:ascii="Verdana" w:hAnsi="Verdana"/>
        </w:rPr>
        <w:t>Chavella</w:t>
      </w:r>
      <w:proofErr w:type="spellEnd"/>
      <w:r w:rsidR="00BE1A55">
        <w:rPr>
          <w:rFonts w:ascii="Verdana" w:hAnsi="Verdana"/>
        </w:rPr>
        <w:t xml:space="preserve"> </w:t>
      </w:r>
      <w:r w:rsidR="00AB5086" w:rsidRPr="00AF7AEA">
        <w:rPr>
          <w:rFonts w:ascii="Verdana" w:hAnsi="Verdana"/>
        </w:rPr>
        <w:t xml:space="preserve">Pittman and </w:t>
      </w:r>
      <w:r w:rsidR="00BE1A55">
        <w:rPr>
          <w:rFonts w:ascii="Verdana" w:hAnsi="Verdana"/>
        </w:rPr>
        <w:t xml:space="preserve">Thomas J. </w:t>
      </w:r>
      <w:r w:rsidR="00AB5086" w:rsidRPr="00AF7AEA">
        <w:rPr>
          <w:rFonts w:ascii="Verdana" w:hAnsi="Verdana"/>
        </w:rPr>
        <w:t xml:space="preserve">Tobin ask what are the consequences of this, ‘when the member of staff is someone whose authority may already be questioned’, citing gender, race and </w:t>
      </w:r>
      <w:r w:rsidR="00AB5086" w:rsidRPr="00AF7AEA">
        <w:rPr>
          <w:rFonts w:ascii="Verdana" w:hAnsi="Verdana"/>
        </w:rPr>
        <w:lastRenderedPageBreak/>
        <w:t>disability as examples.</w:t>
      </w:r>
      <w:r w:rsidR="00AB5086" w:rsidRPr="00AF7AEA">
        <w:rPr>
          <w:rStyle w:val="FootnoteReference"/>
          <w:rFonts w:ascii="Verdana" w:hAnsi="Verdana"/>
        </w:rPr>
        <w:footnoteReference w:id="70"/>
      </w:r>
      <w:r w:rsidR="00AB5086">
        <w:rPr>
          <w:rFonts w:ascii="Verdana" w:hAnsi="Verdana"/>
        </w:rPr>
        <w:t xml:space="preserve"> </w:t>
      </w:r>
      <w:r>
        <w:rPr>
          <w:rFonts w:ascii="Verdana" w:hAnsi="Verdana"/>
          <w:color w:val="000000" w:themeColor="text1"/>
        </w:rPr>
        <w:t>Encouraging staff and students to be self-reflective of their positionality and how this informs power dynamics, an anti-racist pedagogical approach can also highlight wider structural and societal issues.</w:t>
      </w:r>
      <w:r>
        <w:rPr>
          <w:rStyle w:val="FootnoteReference"/>
          <w:rFonts w:ascii="Verdana" w:hAnsi="Verdana"/>
          <w:color w:val="000000" w:themeColor="text1"/>
        </w:rPr>
        <w:footnoteReference w:id="71"/>
      </w:r>
      <w:r>
        <w:rPr>
          <w:rFonts w:ascii="Verdana" w:hAnsi="Verdana"/>
          <w:color w:val="000000" w:themeColor="text1"/>
        </w:rPr>
        <w:t xml:space="preserve"> </w:t>
      </w:r>
    </w:p>
    <w:p w14:paraId="7EDB9A77" w14:textId="77777777" w:rsidR="00DC75EF" w:rsidRPr="001927CF" w:rsidRDefault="00DC75EF" w:rsidP="00DC75EF">
      <w:pPr>
        <w:spacing w:line="276" w:lineRule="auto"/>
        <w:rPr>
          <w:rFonts w:ascii="Verdana" w:hAnsi="Verdana"/>
          <w:color w:val="000000" w:themeColor="text1"/>
        </w:rPr>
      </w:pPr>
    </w:p>
    <w:p w14:paraId="49C1CD47" w14:textId="5DB44D73" w:rsidR="00DC75EF" w:rsidRPr="001927CF" w:rsidRDefault="00DC75EF" w:rsidP="00DC75EF">
      <w:pPr>
        <w:spacing w:line="276" w:lineRule="auto"/>
        <w:rPr>
          <w:rFonts w:ascii="Verdana" w:hAnsi="Verdana"/>
          <w:color w:val="000000" w:themeColor="text1"/>
        </w:rPr>
      </w:pPr>
      <w:r>
        <w:rPr>
          <w:rFonts w:ascii="Verdana" w:hAnsi="Verdana"/>
          <w:color w:val="000000" w:themeColor="text1"/>
        </w:rPr>
        <w:t>Participants</w:t>
      </w:r>
      <w:r w:rsidRPr="001927CF">
        <w:rPr>
          <w:rFonts w:ascii="Verdana" w:hAnsi="Verdana"/>
          <w:color w:val="000000" w:themeColor="text1"/>
        </w:rPr>
        <w:t xml:space="preserve"> acknowledged </w:t>
      </w:r>
      <w:r>
        <w:rPr>
          <w:rFonts w:ascii="Verdana" w:hAnsi="Verdana"/>
          <w:color w:val="000000" w:themeColor="text1"/>
        </w:rPr>
        <w:t xml:space="preserve">that </w:t>
      </w:r>
      <w:r w:rsidR="0032250D">
        <w:rPr>
          <w:rFonts w:ascii="Verdana" w:hAnsi="Verdana"/>
          <w:color w:val="000000" w:themeColor="text1"/>
        </w:rPr>
        <w:t>decolonisation</w:t>
      </w:r>
      <w:r>
        <w:rPr>
          <w:rFonts w:ascii="Verdana" w:hAnsi="Verdana"/>
          <w:color w:val="000000" w:themeColor="text1"/>
        </w:rPr>
        <w:t xml:space="preserve"> work</w:t>
      </w:r>
      <w:r w:rsidRPr="001927CF">
        <w:rPr>
          <w:rFonts w:ascii="Verdana" w:hAnsi="Verdana"/>
          <w:color w:val="000000" w:themeColor="text1"/>
        </w:rPr>
        <w:t xml:space="preserve"> take</w:t>
      </w:r>
      <w:r>
        <w:rPr>
          <w:rFonts w:ascii="Verdana" w:hAnsi="Verdana"/>
          <w:color w:val="000000" w:themeColor="text1"/>
        </w:rPr>
        <w:t>s</w:t>
      </w:r>
      <w:r w:rsidRPr="001927CF">
        <w:rPr>
          <w:rFonts w:ascii="Verdana" w:hAnsi="Verdana"/>
          <w:color w:val="000000" w:themeColor="text1"/>
        </w:rPr>
        <w:t xml:space="preserve"> a lot of time (time which was not usually adequately </w:t>
      </w:r>
      <w:r>
        <w:rPr>
          <w:rFonts w:ascii="Verdana" w:hAnsi="Verdana"/>
          <w:color w:val="000000" w:themeColor="text1"/>
        </w:rPr>
        <w:t xml:space="preserve">credited in </w:t>
      </w:r>
      <w:r w:rsidRPr="001927CF">
        <w:rPr>
          <w:rFonts w:ascii="Verdana" w:hAnsi="Verdana"/>
          <w:color w:val="000000" w:themeColor="text1"/>
        </w:rPr>
        <w:t>workload</w:t>
      </w:r>
      <w:r>
        <w:rPr>
          <w:rFonts w:ascii="Verdana" w:hAnsi="Verdana"/>
          <w:color w:val="000000" w:themeColor="text1"/>
        </w:rPr>
        <w:t>s,</w:t>
      </w:r>
      <w:r w:rsidRPr="001927CF">
        <w:rPr>
          <w:rFonts w:ascii="Verdana" w:hAnsi="Verdana"/>
          <w:color w:val="000000" w:themeColor="text1"/>
        </w:rPr>
        <w:t xml:space="preserve"> if at all), and although it can be useful to demonstrate ‘success’ or even ‘easy wins’ to sustain commitment from colleagues, participants stressed the importance of being realistic about the long</w:t>
      </w:r>
      <w:r>
        <w:rPr>
          <w:rFonts w:ascii="Verdana" w:hAnsi="Verdana"/>
          <w:color w:val="000000" w:themeColor="text1"/>
        </w:rPr>
        <w:t xml:space="preserve"> </w:t>
      </w:r>
      <w:r w:rsidRPr="001927CF">
        <w:rPr>
          <w:rFonts w:ascii="Verdana" w:hAnsi="Verdana"/>
          <w:color w:val="000000" w:themeColor="text1"/>
        </w:rPr>
        <w:t>timeframes involved and that this was an ongoing process. Other challenges identified included extending this work beyond those actively interested and engaged and overcoming resistance and bigger structural issues that can hinder or even undermine ‘work on the ground’.</w:t>
      </w:r>
      <w:r>
        <w:rPr>
          <w:rFonts w:ascii="Verdana" w:hAnsi="Verdana"/>
          <w:color w:val="000000" w:themeColor="text1"/>
        </w:rPr>
        <w:t xml:space="preserve"> </w:t>
      </w:r>
    </w:p>
    <w:p w14:paraId="2CCC1921" w14:textId="77777777" w:rsidR="00D028C3" w:rsidRDefault="00D028C3" w:rsidP="001927CF">
      <w:pPr>
        <w:spacing w:line="276" w:lineRule="auto"/>
        <w:rPr>
          <w:rFonts w:ascii="Verdana" w:hAnsi="Verdana"/>
          <w:color w:val="000000" w:themeColor="text1"/>
        </w:rPr>
      </w:pPr>
    </w:p>
    <w:p w14:paraId="58818DC7" w14:textId="68D339A9" w:rsidR="00D028C3" w:rsidRPr="001927CF" w:rsidRDefault="00D028C3" w:rsidP="00D028C3">
      <w:pPr>
        <w:spacing w:line="276" w:lineRule="auto"/>
        <w:rPr>
          <w:rFonts w:ascii="Verdana" w:hAnsi="Verdana"/>
          <w:color w:val="000000" w:themeColor="text1"/>
        </w:rPr>
      </w:pPr>
      <w:r>
        <w:rPr>
          <w:rFonts w:ascii="Verdana" w:hAnsi="Verdana"/>
          <w:color w:val="000000" w:themeColor="text1"/>
        </w:rPr>
        <w:t xml:space="preserve">Everyone taking part in the focus groups considered the RHS reports to have been inspirational and pivotal, with one </w:t>
      </w:r>
      <w:r w:rsidRPr="001927CF">
        <w:rPr>
          <w:rFonts w:ascii="Verdana" w:hAnsi="Verdana"/>
          <w:color w:val="000000" w:themeColor="text1"/>
        </w:rPr>
        <w:t xml:space="preserve">participant describing the race and ethnicity report as ‘paradigm shifting’. </w:t>
      </w:r>
      <w:r>
        <w:rPr>
          <w:rFonts w:ascii="Verdana" w:hAnsi="Verdana"/>
          <w:color w:val="000000" w:themeColor="text1"/>
        </w:rPr>
        <w:t>Participants</w:t>
      </w:r>
      <w:r w:rsidRPr="001927CF">
        <w:rPr>
          <w:rFonts w:ascii="Verdana" w:hAnsi="Verdana"/>
          <w:color w:val="000000" w:themeColor="text1"/>
        </w:rPr>
        <w:t xml:space="preserve"> noted how the reports had been used to generate discussion and stimulate change. Much of the EDI work being undertaken in history departments was </w:t>
      </w:r>
      <w:r>
        <w:rPr>
          <w:rFonts w:ascii="Verdana" w:hAnsi="Verdana"/>
          <w:color w:val="000000" w:themeColor="text1"/>
        </w:rPr>
        <w:t xml:space="preserve">thought to be </w:t>
      </w:r>
      <w:r w:rsidRPr="001927CF">
        <w:rPr>
          <w:rFonts w:ascii="Verdana" w:hAnsi="Verdana"/>
          <w:color w:val="000000" w:themeColor="text1"/>
        </w:rPr>
        <w:t>underpinned by the findings of these reports</w:t>
      </w:r>
      <w:r>
        <w:rPr>
          <w:rFonts w:ascii="Verdana" w:hAnsi="Verdana"/>
          <w:color w:val="000000" w:themeColor="text1"/>
        </w:rPr>
        <w:t xml:space="preserve"> in some way</w:t>
      </w:r>
      <w:r w:rsidRPr="001927CF">
        <w:rPr>
          <w:rFonts w:ascii="Verdana" w:hAnsi="Verdana"/>
          <w:color w:val="000000" w:themeColor="text1"/>
        </w:rPr>
        <w:t xml:space="preserve">. This ranged from highlighting issues and pushing for reforms to informing curriculum reform. Participants discussed how the reports were being used in modules to raise awareness of issues of race, ethnicity, gender and LGBT+ in history departments and discuss inequalities in the discipline, and in some cases had become compulsory </w:t>
      </w:r>
      <w:r>
        <w:rPr>
          <w:rFonts w:ascii="Verdana" w:hAnsi="Verdana"/>
          <w:color w:val="000000" w:themeColor="text1"/>
        </w:rPr>
        <w:t xml:space="preserve">reading </w:t>
      </w:r>
      <w:r w:rsidRPr="001927CF">
        <w:rPr>
          <w:rFonts w:ascii="Verdana" w:hAnsi="Verdana"/>
          <w:color w:val="000000" w:themeColor="text1"/>
        </w:rPr>
        <w:t>on core, introductory history modules.</w:t>
      </w:r>
    </w:p>
    <w:p w14:paraId="48909C21" w14:textId="77777777" w:rsidR="003025E8" w:rsidRDefault="003025E8" w:rsidP="001927CF">
      <w:pPr>
        <w:spacing w:line="276" w:lineRule="auto"/>
        <w:rPr>
          <w:rFonts w:ascii="Verdana" w:hAnsi="Verdana"/>
          <w:color w:val="000000" w:themeColor="text1"/>
        </w:rPr>
      </w:pPr>
    </w:p>
    <w:p w14:paraId="21735D73" w14:textId="2146D44B" w:rsidR="00916054" w:rsidRPr="00D028C3" w:rsidRDefault="00A231C0" w:rsidP="00916054">
      <w:pPr>
        <w:spacing w:line="276" w:lineRule="auto"/>
        <w:rPr>
          <w:rFonts w:ascii="Verdana" w:hAnsi="Verdana"/>
          <w:color w:val="FF0000"/>
        </w:rPr>
      </w:pPr>
      <w:r w:rsidRPr="00916054">
        <w:rPr>
          <w:rFonts w:ascii="Verdana" w:hAnsi="Verdana"/>
          <w:color w:val="000000" w:themeColor="text1"/>
        </w:rPr>
        <w:t xml:space="preserve">Participants </w:t>
      </w:r>
      <w:r w:rsidR="000602F3" w:rsidRPr="00916054">
        <w:rPr>
          <w:rFonts w:ascii="Verdana" w:hAnsi="Verdana"/>
          <w:color w:val="000000" w:themeColor="text1"/>
        </w:rPr>
        <w:t xml:space="preserve">in the second set of focus groups </w:t>
      </w:r>
      <w:r w:rsidRPr="00916054">
        <w:rPr>
          <w:rFonts w:ascii="Verdana" w:hAnsi="Verdana"/>
          <w:color w:val="000000" w:themeColor="text1"/>
        </w:rPr>
        <w:t xml:space="preserve">noted that EDI was ‘far more visible’ in the </w:t>
      </w:r>
      <w:r w:rsidR="009351B6" w:rsidRPr="00916054">
        <w:rPr>
          <w:rFonts w:ascii="Verdana" w:hAnsi="Verdana"/>
          <w:color w:val="000000" w:themeColor="text1"/>
        </w:rPr>
        <w:t xml:space="preserve">revised </w:t>
      </w:r>
      <w:hyperlink r:id="rId22" w:history="1">
        <w:r w:rsidR="000602F3" w:rsidRPr="00916054">
          <w:rPr>
            <w:rStyle w:val="Hyperlink"/>
            <w:rFonts w:ascii="Verdana" w:hAnsi="Verdana"/>
          </w:rPr>
          <w:t>QAA Subject Benchmark Statement for History (2022)</w:t>
        </w:r>
      </w:hyperlink>
      <w:r w:rsidR="00916054">
        <w:rPr>
          <w:rStyle w:val="Hyperlink"/>
          <w:rFonts w:ascii="Verdana" w:hAnsi="Verdana"/>
          <w:u w:val="none"/>
        </w:rPr>
        <w:t xml:space="preserve"> </w:t>
      </w:r>
      <w:r w:rsidR="00916054">
        <w:rPr>
          <w:rStyle w:val="Hyperlink"/>
          <w:rFonts w:ascii="Verdana" w:hAnsi="Verdana"/>
          <w:color w:val="000000" w:themeColor="text1"/>
          <w:u w:val="none"/>
        </w:rPr>
        <w:t xml:space="preserve">and </w:t>
      </w:r>
      <w:r w:rsidR="001D02C8">
        <w:rPr>
          <w:rStyle w:val="Hyperlink"/>
          <w:rFonts w:ascii="Verdana" w:hAnsi="Verdana"/>
          <w:color w:val="000000" w:themeColor="text1"/>
          <w:u w:val="none"/>
        </w:rPr>
        <w:t xml:space="preserve">that </w:t>
      </w:r>
      <w:r w:rsidR="00916054">
        <w:rPr>
          <w:rStyle w:val="Hyperlink"/>
          <w:rFonts w:ascii="Verdana" w:hAnsi="Verdana"/>
          <w:color w:val="000000" w:themeColor="text1"/>
          <w:u w:val="none"/>
        </w:rPr>
        <w:t xml:space="preserve">this was </w:t>
      </w:r>
      <w:r w:rsidR="00D028C3">
        <w:rPr>
          <w:rStyle w:val="Hyperlink"/>
          <w:rFonts w:ascii="Verdana" w:hAnsi="Verdana"/>
          <w:color w:val="000000" w:themeColor="text1"/>
          <w:u w:val="none"/>
        </w:rPr>
        <w:t xml:space="preserve">a </w:t>
      </w:r>
      <w:r w:rsidR="00916054">
        <w:rPr>
          <w:rStyle w:val="Hyperlink"/>
          <w:rFonts w:ascii="Verdana" w:hAnsi="Verdana"/>
          <w:color w:val="000000" w:themeColor="text1"/>
          <w:u w:val="none"/>
        </w:rPr>
        <w:t xml:space="preserve">useful framework with which to review curricula. </w:t>
      </w:r>
      <w:r w:rsidR="00916054" w:rsidRPr="00916054">
        <w:rPr>
          <w:rFonts w:ascii="Verdana" w:hAnsi="Verdana"/>
          <w:color w:val="000000" w:themeColor="text1"/>
        </w:rPr>
        <w:t xml:space="preserve">The statement </w:t>
      </w:r>
      <w:r w:rsidR="00916054">
        <w:rPr>
          <w:rFonts w:ascii="Verdana" w:hAnsi="Verdana"/>
          <w:color w:val="000000" w:themeColor="text1"/>
        </w:rPr>
        <w:t xml:space="preserve">encourages ‘shared commitment to and shared </w:t>
      </w:r>
      <w:r w:rsidR="00916054">
        <w:rPr>
          <w:rFonts w:ascii="Verdana" w:hAnsi="Verdana"/>
          <w:color w:val="000000" w:themeColor="text1"/>
        </w:rPr>
        <w:lastRenderedPageBreak/>
        <w:t xml:space="preserve">responsibility for EDI in the content and delivery of History courses’. It provides subject-specific perspectives, noting that the discipline </w:t>
      </w:r>
      <w:r w:rsidR="00916054" w:rsidRPr="0B4088E5">
        <w:rPr>
          <w:rFonts w:ascii="Verdana" w:hAnsi="Verdana"/>
        </w:rPr>
        <w:t>‘seeks to recover the diversity o</w:t>
      </w:r>
      <w:r w:rsidR="00916054">
        <w:rPr>
          <w:rFonts w:ascii="Verdana" w:hAnsi="Verdana"/>
        </w:rPr>
        <w:t>f</w:t>
      </w:r>
      <w:r w:rsidR="00916054" w:rsidRPr="0B4088E5">
        <w:rPr>
          <w:rFonts w:ascii="Verdana" w:hAnsi="Verdana"/>
        </w:rPr>
        <w:t xml:space="preserve"> human organisation and experience in the past, and to recognise the enduring legacies of the past in the present’.</w:t>
      </w:r>
      <w:r w:rsidR="00916054">
        <w:rPr>
          <w:rFonts w:ascii="Verdana" w:hAnsi="Verdana"/>
        </w:rPr>
        <w:t xml:space="preserve"> It goes on to highlight that:</w:t>
      </w:r>
    </w:p>
    <w:p w14:paraId="61449FA6" w14:textId="77777777" w:rsidR="00916054" w:rsidRDefault="00916054" w:rsidP="00916054">
      <w:pPr>
        <w:spacing w:line="276" w:lineRule="auto"/>
        <w:ind w:left="720"/>
        <w:rPr>
          <w:rFonts w:ascii="Verdana" w:hAnsi="Verdana"/>
          <w:color w:val="000000" w:themeColor="text1"/>
        </w:rPr>
      </w:pPr>
      <w:r w:rsidRPr="0B4088E5">
        <w:rPr>
          <w:rFonts w:ascii="Verdana" w:hAnsi="Verdana"/>
        </w:rPr>
        <w:t xml:space="preserve">‘History is not a comfortable subject; it includes confronting uncomfortable and unsettling aspects of the pasts, elements of which may continue to resonate and inspire controversy and debate today, but which are an unavoidable part of the process of historical recovery and essential to the rigour of historical enquiry. History operates best when its practitioners reflect the diversity of human society and thought, bringing different perspectives and life experiences to bear on the past, and engage in self-reflection and critique to test and question both their own and the discipline’s approaches to studying the past. In particular, history has the capacity to create a balanced understanding of the past through </w:t>
      </w:r>
      <w:r w:rsidRPr="0B4088E5">
        <w:rPr>
          <w:rFonts w:ascii="Verdana" w:hAnsi="Verdana"/>
          <w:color w:val="000000" w:themeColor="text1"/>
        </w:rPr>
        <w:t>examination of non-dominant and traditionally marginalised cultures’.</w:t>
      </w:r>
    </w:p>
    <w:p w14:paraId="74F96DEF" w14:textId="19DFF0B6" w:rsidR="00916054" w:rsidRDefault="00916054" w:rsidP="00916054">
      <w:pPr>
        <w:spacing w:line="276" w:lineRule="auto"/>
        <w:rPr>
          <w:rFonts w:ascii="Verdana" w:hAnsi="Verdana"/>
          <w:color w:val="000000" w:themeColor="text1"/>
        </w:rPr>
      </w:pPr>
      <w:r w:rsidRPr="0B4088E5">
        <w:rPr>
          <w:rFonts w:ascii="Verdana" w:hAnsi="Verdana"/>
          <w:color w:val="000000" w:themeColor="text1"/>
        </w:rPr>
        <w:t xml:space="preserve">As a </w:t>
      </w:r>
      <w:proofErr w:type="spellStart"/>
      <w:r w:rsidRPr="0B4088E5">
        <w:rPr>
          <w:rFonts w:ascii="Verdana" w:hAnsi="Verdana"/>
          <w:color w:val="000000" w:themeColor="text1"/>
        </w:rPr>
        <w:t>W</w:t>
      </w:r>
      <w:r w:rsidR="00336133">
        <w:rPr>
          <w:rFonts w:ascii="Verdana" w:hAnsi="Verdana"/>
          <w:color w:val="000000" w:themeColor="text1"/>
        </w:rPr>
        <w:t>onkhe</w:t>
      </w:r>
      <w:proofErr w:type="spellEnd"/>
      <w:r w:rsidRPr="0B4088E5">
        <w:rPr>
          <w:rFonts w:ascii="Verdana" w:hAnsi="Verdana"/>
          <w:color w:val="000000" w:themeColor="text1"/>
        </w:rPr>
        <w:t xml:space="preserve"> feature reflected, the QAA Subject Benchmark statements enable us to reflect on what inclusive education looks like at a subject level.</w:t>
      </w:r>
      <w:r w:rsidRPr="0B4088E5">
        <w:rPr>
          <w:rStyle w:val="FootnoteReference"/>
          <w:rFonts w:ascii="Verdana" w:hAnsi="Verdana"/>
          <w:color w:val="000000" w:themeColor="text1"/>
        </w:rPr>
        <w:footnoteReference w:id="72"/>
      </w:r>
    </w:p>
    <w:p w14:paraId="67EC1FBB" w14:textId="77777777" w:rsidR="002D64C6" w:rsidRDefault="002D64C6" w:rsidP="001927CF">
      <w:pPr>
        <w:spacing w:line="276" w:lineRule="auto"/>
        <w:rPr>
          <w:rFonts w:ascii="Verdana" w:hAnsi="Verdana"/>
          <w:color w:val="000000" w:themeColor="text1"/>
        </w:rPr>
      </w:pPr>
    </w:p>
    <w:p w14:paraId="54EBE2E6" w14:textId="6F5099FC" w:rsidR="00C07A4A" w:rsidRPr="00C07A4A" w:rsidRDefault="00DC75EF" w:rsidP="001927CF">
      <w:pPr>
        <w:spacing w:line="276" w:lineRule="auto"/>
        <w:rPr>
          <w:rFonts w:ascii="Verdana" w:hAnsi="Verdana"/>
          <w:color w:val="000000" w:themeColor="text1"/>
        </w:rPr>
      </w:pPr>
      <w:r w:rsidRPr="001927CF">
        <w:rPr>
          <w:rFonts w:ascii="Verdana" w:hAnsi="Verdana"/>
          <w:color w:val="000000" w:themeColor="text1"/>
        </w:rPr>
        <w:t xml:space="preserve">All participants noted an emphasis on redesigning first-year modules to include more diverse content and to make them more inclusive. However, many identified difficulties translating this across the rest of the degree programme with some resistance </w:t>
      </w:r>
      <w:r>
        <w:rPr>
          <w:rFonts w:ascii="Verdana" w:hAnsi="Verdana"/>
          <w:color w:val="000000" w:themeColor="text1"/>
        </w:rPr>
        <w:t xml:space="preserve">specifically </w:t>
      </w:r>
      <w:r w:rsidRPr="001927CF">
        <w:rPr>
          <w:rFonts w:ascii="Verdana" w:hAnsi="Verdana"/>
          <w:color w:val="000000" w:themeColor="text1"/>
        </w:rPr>
        <w:t xml:space="preserve">regarding specialist teaching and autonomy over the curriculum but more generally </w:t>
      </w:r>
      <w:r>
        <w:rPr>
          <w:rFonts w:ascii="Verdana" w:hAnsi="Verdana"/>
          <w:color w:val="000000" w:themeColor="text1"/>
        </w:rPr>
        <w:t xml:space="preserve">around </w:t>
      </w:r>
      <w:r w:rsidRPr="001927CF">
        <w:rPr>
          <w:rFonts w:ascii="Verdana" w:hAnsi="Verdana"/>
          <w:color w:val="000000" w:themeColor="text1"/>
        </w:rPr>
        <w:t xml:space="preserve">concerns about time and workload. Nevertheless, some excellent case studies were discussed, and the role of curriculum review processes was emphasised in ensuring this work is undertaken at programme level. </w:t>
      </w:r>
      <w:r w:rsidR="002E5862" w:rsidRPr="001927CF">
        <w:rPr>
          <w:rFonts w:ascii="Verdana" w:hAnsi="Verdana"/>
          <w:color w:val="000000" w:themeColor="text1"/>
        </w:rPr>
        <w:t>Participants noted that</w:t>
      </w:r>
      <w:r w:rsidR="005E7A74" w:rsidRPr="001927CF">
        <w:rPr>
          <w:rFonts w:ascii="Verdana" w:hAnsi="Verdana"/>
          <w:color w:val="000000" w:themeColor="text1"/>
        </w:rPr>
        <w:t xml:space="preserve"> great work had been undertaken at modular level but that the idea</w:t>
      </w:r>
      <w:r w:rsidR="004E35F5" w:rsidRPr="001927CF">
        <w:rPr>
          <w:rFonts w:ascii="Verdana" w:hAnsi="Verdana"/>
          <w:color w:val="000000" w:themeColor="text1"/>
        </w:rPr>
        <w:t>l was to embed EDI in the curriculum ensuring all students had opportunities to engage with these debates and conversations. This required pro</w:t>
      </w:r>
      <w:r w:rsidR="00830E7D">
        <w:rPr>
          <w:rFonts w:ascii="Verdana" w:hAnsi="Verdana"/>
          <w:color w:val="000000" w:themeColor="text1"/>
        </w:rPr>
        <w:t>gramme-</w:t>
      </w:r>
      <w:r w:rsidR="004E35F5" w:rsidRPr="001927CF">
        <w:rPr>
          <w:rFonts w:ascii="Verdana" w:hAnsi="Verdana"/>
          <w:color w:val="000000" w:themeColor="text1"/>
        </w:rPr>
        <w:t xml:space="preserve">level approaches to curriculum design, but some participants also referred to the importance of mindset and how one colleague ‘used the stick of rock analogy to talk about EDI in the </w:t>
      </w:r>
      <w:r w:rsidR="004E35F5" w:rsidRPr="001927CF">
        <w:rPr>
          <w:rFonts w:ascii="Verdana" w:hAnsi="Verdana"/>
          <w:color w:val="000000" w:themeColor="text1"/>
        </w:rPr>
        <w:lastRenderedPageBreak/>
        <w:t>curriculum – it should be evident throughout and everywhere, not just on designa</w:t>
      </w:r>
      <w:r w:rsidR="009F47C7" w:rsidRPr="001927CF">
        <w:rPr>
          <w:rFonts w:ascii="Verdana" w:hAnsi="Verdana"/>
          <w:color w:val="000000" w:themeColor="text1"/>
        </w:rPr>
        <w:t>ted</w:t>
      </w:r>
      <w:r w:rsidR="004E35F5" w:rsidRPr="001927CF">
        <w:rPr>
          <w:rFonts w:ascii="Verdana" w:hAnsi="Verdana"/>
          <w:color w:val="000000" w:themeColor="text1"/>
        </w:rPr>
        <w:t xml:space="preserve"> modules’. </w:t>
      </w:r>
      <w:r w:rsidR="00DC2EB6">
        <w:rPr>
          <w:rFonts w:ascii="Verdana" w:hAnsi="Verdana"/>
          <w:color w:val="000000" w:themeColor="text1"/>
        </w:rPr>
        <w:t>L</w:t>
      </w:r>
      <w:r w:rsidR="004E35F5" w:rsidRPr="001927CF">
        <w:rPr>
          <w:rFonts w:ascii="Verdana" w:hAnsi="Verdana"/>
          <w:color w:val="000000" w:themeColor="text1"/>
        </w:rPr>
        <w:t>eadership and a strong commitment from everyone within a department</w:t>
      </w:r>
      <w:r w:rsidR="00DC2EB6">
        <w:rPr>
          <w:rFonts w:ascii="Verdana" w:hAnsi="Verdana"/>
          <w:color w:val="000000" w:themeColor="text1"/>
        </w:rPr>
        <w:t xml:space="preserve"> were recognised as being crucial to enacting change</w:t>
      </w:r>
      <w:r w:rsidR="004E35F5" w:rsidRPr="001927CF">
        <w:rPr>
          <w:rFonts w:ascii="Verdana" w:hAnsi="Verdana"/>
          <w:color w:val="000000" w:themeColor="text1"/>
        </w:rPr>
        <w:t xml:space="preserve">.  </w:t>
      </w:r>
      <w:r w:rsidR="009F47C7" w:rsidRPr="001927CF">
        <w:rPr>
          <w:rFonts w:ascii="Verdana" w:hAnsi="Verdana"/>
          <w:color w:val="FF0000"/>
        </w:rPr>
        <w:br/>
      </w:r>
      <w:r w:rsidR="009F47C7" w:rsidRPr="001927CF">
        <w:rPr>
          <w:rFonts w:ascii="Verdana" w:hAnsi="Verdana"/>
          <w:color w:val="000000" w:themeColor="text1"/>
        </w:rPr>
        <w:t>Challenges to creating truly inclusive curricula</w:t>
      </w:r>
      <w:r w:rsidR="00151F27" w:rsidRPr="001927CF">
        <w:rPr>
          <w:rFonts w:ascii="Verdana" w:hAnsi="Verdana"/>
          <w:color w:val="000000" w:themeColor="text1"/>
        </w:rPr>
        <w:t xml:space="preserve"> were also identified. In addition to workload</w:t>
      </w:r>
      <w:r w:rsidR="00575059">
        <w:rPr>
          <w:rFonts w:ascii="Verdana" w:hAnsi="Verdana"/>
          <w:color w:val="000000" w:themeColor="text1"/>
        </w:rPr>
        <w:t xml:space="preserve"> pressures</w:t>
      </w:r>
      <w:r w:rsidR="00151F27" w:rsidRPr="001927CF">
        <w:rPr>
          <w:rFonts w:ascii="Verdana" w:hAnsi="Verdana"/>
          <w:color w:val="000000" w:themeColor="text1"/>
        </w:rPr>
        <w:t xml:space="preserve"> and </w:t>
      </w:r>
      <w:r w:rsidR="00575059">
        <w:rPr>
          <w:rFonts w:ascii="Verdana" w:hAnsi="Verdana"/>
          <w:color w:val="000000" w:themeColor="text1"/>
        </w:rPr>
        <w:t xml:space="preserve">the need for </w:t>
      </w:r>
      <w:r w:rsidR="00151F27" w:rsidRPr="001927CF">
        <w:rPr>
          <w:rFonts w:ascii="Verdana" w:hAnsi="Verdana"/>
          <w:color w:val="000000" w:themeColor="text1"/>
        </w:rPr>
        <w:t>wider commitment, participants</w:t>
      </w:r>
      <w:r w:rsidR="00575059">
        <w:rPr>
          <w:rFonts w:ascii="Verdana" w:hAnsi="Verdana"/>
          <w:color w:val="000000" w:themeColor="text1"/>
        </w:rPr>
        <w:t xml:space="preserve"> also</w:t>
      </w:r>
      <w:r w:rsidR="00151F27" w:rsidRPr="001927CF">
        <w:rPr>
          <w:rFonts w:ascii="Verdana" w:hAnsi="Verdana"/>
          <w:color w:val="000000" w:themeColor="text1"/>
        </w:rPr>
        <w:t xml:space="preserve"> noted </w:t>
      </w:r>
      <w:r w:rsidR="00545992" w:rsidRPr="001927CF">
        <w:rPr>
          <w:rFonts w:ascii="Verdana" w:hAnsi="Verdana"/>
          <w:color w:val="000000" w:themeColor="text1"/>
        </w:rPr>
        <w:t xml:space="preserve">that curriculum change can be slow to implement which can lead to frustration and in some cases apathy. Resourcing was highlighted as a key challenge. For example, accessing global and diverse perspectives </w:t>
      </w:r>
      <w:r w:rsidR="00CA54C9" w:rsidRPr="001927CF">
        <w:rPr>
          <w:rFonts w:ascii="Verdana" w:hAnsi="Verdana"/>
          <w:color w:val="000000" w:themeColor="text1"/>
        </w:rPr>
        <w:t>can be difficult, with sometimes limited secondary reading in English and issues with translating sufficient sources</w:t>
      </w:r>
      <w:r w:rsidR="001F14A2" w:rsidRPr="001927CF">
        <w:rPr>
          <w:rFonts w:ascii="Verdana" w:hAnsi="Verdana"/>
          <w:color w:val="000000" w:themeColor="text1"/>
        </w:rPr>
        <w:t xml:space="preserve">. </w:t>
      </w:r>
      <w:r w:rsidR="003F6B51" w:rsidRPr="001927CF">
        <w:rPr>
          <w:rFonts w:ascii="Verdana" w:hAnsi="Verdana"/>
          <w:color w:val="000000" w:themeColor="text1"/>
        </w:rPr>
        <w:t xml:space="preserve">Moreover, a lot of work to ‘decolonise’ or ‘diversify’ includes ensuring reading lists are more representative in terms of gender and ethnicity. </w:t>
      </w:r>
      <w:r w:rsidR="001F14A2" w:rsidRPr="001927CF">
        <w:rPr>
          <w:rFonts w:ascii="Verdana" w:hAnsi="Verdana"/>
          <w:color w:val="000000" w:themeColor="text1"/>
        </w:rPr>
        <w:t xml:space="preserve">This was often considered a small and manageable change. </w:t>
      </w:r>
      <w:r w:rsidR="003F6B51" w:rsidRPr="001927CF">
        <w:rPr>
          <w:rFonts w:ascii="Verdana" w:hAnsi="Verdana"/>
          <w:color w:val="000000" w:themeColor="text1"/>
        </w:rPr>
        <w:t xml:space="preserve">However, participants noted that even where full names have been given, this still doesn’t necessarily reveal gender and ethnicity and it would be problematic to make </w:t>
      </w:r>
      <w:r w:rsidR="00DC79AA" w:rsidRPr="001927CF">
        <w:rPr>
          <w:rFonts w:ascii="Verdana" w:hAnsi="Verdana"/>
          <w:color w:val="000000" w:themeColor="text1"/>
        </w:rPr>
        <w:t xml:space="preserve">assumptions based purely on names. </w:t>
      </w:r>
      <w:r w:rsidR="006835A2" w:rsidRPr="001927CF">
        <w:rPr>
          <w:rFonts w:ascii="Verdana" w:hAnsi="Verdana"/>
          <w:color w:val="000000" w:themeColor="text1"/>
        </w:rPr>
        <w:t xml:space="preserve">Thus, even if the reading list was more diverse and representative, this </w:t>
      </w:r>
      <w:r w:rsidR="00502AC8" w:rsidRPr="001927CF">
        <w:rPr>
          <w:rFonts w:ascii="Verdana" w:hAnsi="Verdana"/>
          <w:color w:val="000000" w:themeColor="text1"/>
        </w:rPr>
        <w:t>may</w:t>
      </w:r>
      <w:r w:rsidR="006835A2" w:rsidRPr="001927CF">
        <w:rPr>
          <w:rFonts w:ascii="Verdana" w:hAnsi="Verdana"/>
          <w:color w:val="000000" w:themeColor="text1"/>
        </w:rPr>
        <w:t xml:space="preserve"> still not</w:t>
      </w:r>
      <w:r w:rsidR="00502AC8" w:rsidRPr="001927CF">
        <w:rPr>
          <w:rFonts w:ascii="Verdana" w:hAnsi="Verdana"/>
          <w:color w:val="000000" w:themeColor="text1"/>
        </w:rPr>
        <w:t xml:space="preserve"> be</w:t>
      </w:r>
      <w:r w:rsidR="006835A2" w:rsidRPr="001927CF">
        <w:rPr>
          <w:rFonts w:ascii="Verdana" w:hAnsi="Verdana"/>
          <w:color w:val="000000" w:themeColor="text1"/>
        </w:rPr>
        <w:t xml:space="preserve"> transparent</w:t>
      </w:r>
      <w:r w:rsidR="00274D03">
        <w:rPr>
          <w:rFonts w:ascii="Verdana" w:hAnsi="Verdana"/>
          <w:color w:val="000000" w:themeColor="text1"/>
        </w:rPr>
        <w:t xml:space="preserve"> to students.</w:t>
      </w:r>
    </w:p>
    <w:p w14:paraId="0E2AE375" w14:textId="77777777" w:rsidR="008F0B3B" w:rsidRPr="001927CF" w:rsidRDefault="008F0B3B" w:rsidP="001927CF">
      <w:pPr>
        <w:spacing w:line="276" w:lineRule="auto"/>
        <w:rPr>
          <w:rFonts w:ascii="Verdana" w:hAnsi="Verdana"/>
          <w:color w:val="FF0000"/>
        </w:rPr>
      </w:pPr>
    </w:p>
    <w:p w14:paraId="1E64BA7A" w14:textId="00E1D402" w:rsidR="008F0B3B" w:rsidRPr="00AF7AEA" w:rsidRDefault="008F0B3B" w:rsidP="00061DE5">
      <w:pPr>
        <w:pStyle w:val="Heading1"/>
      </w:pPr>
      <w:r w:rsidRPr="00AF7AEA">
        <w:t>Assessment</w:t>
      </w:r>
      <w:r w:rsidR="004A79EE" w:rsidRPr="00AF7AEA">
        <w:t xml:space="preserve"> </w:t>
      </w:r>
    </w:p>
    <w:p w14:paraId="1EC83219" w14:textId="6CA0B5A9" w:rsidR="00AE5B4D" w:rsidRPr="001927CF" w:rsidRDefault="0026556A" w:rsidP="001927CF">
      <w:pPr>
        <w:spacing w:line="276" w:lineRule="auto"/>
        <w:rPr>
          <w:rFonts w:ascii="Verdana" w:hAnsi="Verdana"/>
          <w:color w:val="000000" w:themeColor="text1"/>
        </w:rPr>
      </w:pPr>
      <w:r w:rsidRPr="001927CF">
        <w:rPr>
          <w:rFonts w:ascii="Verdana" w:hAnsi="Verdana"/>
          <w:color w:val="000000" w:themeColor="text1"/>
        </w:rPr>
        <w:t xml:space="preserve">Participants </w:t>
      </w:r>
      <w:r w:rsidR="00AE5B4D" w:rsidRPr="001927CF">
        <w:rPr>
          <w:rFonts w:ascii="Verdana" w:hAnsi="Verdana"/>
          <w:color w:val="000000" w:themeColor="text1"/>
        </w:rPr>
        <w:t xml:space="preserve">felt </w:t>
      </w:r>
      <w:r w:rsidRPr="001927CF">
        <w:rPr>
          <w:rFonts w:ascii="Verdana" w:hAnsi="Verdana"/>
          <w:color w:val="000000" w:themeColor="text1"/>
        </w:rPr>
        <w:t xml:space="preserve">that less attention was generally given to ‘inclusive assessments’ as part of EDI work compared to that devoted to content. </w:t>
      </w:r>
      <w:r w:rsidR="001F35D3" w:rsidRPr="001927CF">
        <w:rPr>
          <w:rFonts w:ascii="Verdana" w:hAnsi="Verdana"/>
          <w:color w:val="000000" w:themeColor="text1"/>
        </w:rPr>
        <w:t>P</w:t>
      </w:r>
      <w:r w:rsidR="00AE5B4D" w:rsidRPr="001927CF">
        <w:rPr>
          <w:rFonts w:ascii="Verdana" w:hAnsi="Verdana"/>
          <w:color w:val="000000" w:themeColor="text1"/>
        </w:rPr>
        <w:t>lenty of examples of excellent practice in this area</w:t>
      </w:r>
      <w:r w:rsidR="001F35D3" w:rsidRPr="001927CF">
        <w:rPr>
          <w:rFonts w:ascii="Verdana" w:hAnsi="Verdana"/>
          <w:color w:val="000000" w:themeColor="text1"/>
        </w:rPr>
        <w:t xml:space="preserve"> were discussed</w:t>
      </w:r>
      <w:r w:rsidR="00AE5B4D" w:rsidRPr="001927CF">
        <w:rPr>
          <w:rFonts w:ascii="Verdana" w:hAnsi="Verdana"/>
          <w:color w:val="000000" w:themeColor="text1"/>
        </w:rPr>
        <w:t xml:space="preserve"> but </w:t>
      </w:r>
      <w:r w:rsidR="001F35D3" w:rsidRPr="001927CF">
        <w:rPr>
          <w:rFonts w:ascii="Verdana" w:hAnsi="Verdana"/>
          <w:color w:val="000000" w:themeColor="text1"/>
        </w:rPr>
        <w:t xml:space="preserve">there was </w:t>
      </w:r>
      <w:r w:rsidR="00AE5B4D" w:rsidRPr="001927CF">
        <w:rPr>
          <w:rFonts w:ascii="Verdana" w:hAnsi="Verdana"/>
          <w:color w:val="000000" w:themeColor="text1"/>
        </w:rPr>
        <w:t>still a sense that this was secondary to content</w:t>
      </w:r>
      <w:r w:rsidR="001F35D3" w:rsidRPr="001927CF">
        <w:rPr>
          <w:rFonts w:ascii="Verdana" w:hAnsi="Verdana"/>
          <w:color w:val="000000" w:themeColor="text1"/>
        </w:rPr>
        <w:t xml:space="preserve"> when thinking about EDI and the history curriculum.</w:t>
      </w:r>
      <w:r w:rsidR="00AE5B4D" w:rsidRPr="001927CF">
        <w:rPr>
          <w:rFonts w:ascii="Verdana" w:hAnsi="Verdana"/>
          <w:color w:val="000000" w:themeColor="text1"/>
        </w:rPr>
        <w:t xml:space="preserve"> Indeed, some </w:t>
      </w:r>
      <w:r w:rsidR="001F35D3" w:rsidRPr="001927CF">
        <w:rPr>
          <w:rFonts w:ascii="Verdana" w:hAnsi="Verdana"/>
          <w:color w:val="000000" w:themeColor="text1"/>
        </w:rPr>
        <w:t xml:space="preserve">participants had </w:t>
      </w:r>
      <w:r w:rsidR="00AE5B4D" w:rsidRPr="001927CF">
        <w:rPr>
          <w:rFonts w:ascii="Verdana" w:hAnsi="Verdana"/>
          <w:color w:val="000000" w:themeColor="text1"/>
        </w:rPr>
        <w:t>observed resistance to change</w:t>
      </w:r>
      <w:r w:rsidR="001F35D3" w:rsidRPr="001927CF">
        <w:rPr>
          <w:rFonts w:ascii="Verdana" w:hAnsi="Verdana"/>
          <w:color w:val="000000" w:themeColor="text1"/>
        </w:rPr>
        <w:t>s</w:t>
      </w:r>
      <w:r w:rsidR="00AE5B4D" w:rsidRPr="001927CF">
        <w:rPr>
          <w:rFonts w:ascii="Verdana" w:hAnsi="Verdana"/>
          <w:color w:val="000000" w:themeColor="text1"/>
        </w:rPr>
        <w:t xml:space="preserve"> in assessment, especially where assessment remained relatively traditional or concerns about academic rigour being undermined by ‘alternative’ assessments are foregrounded. Moreover, there is less research about how assessment in history relates to awarding gaps. </w:t>
      </w:r>
    </w:p>
    <w:p w14:paraId="60F549AC" w14:textId="77777777" w:rsidR="00AE5B4D" w:rsidRPr="001927CF" w:rsidRDefault="00AE5B4D" w:rsidP="001927CF">
      <w:pPr>
        <w:spacing w:line="276" w:lineRule="auto"/>
        <w:rPr>
          <w:rFonts w:ascii="Verdana" w:hAnsi="Verdana"/>
          <w:color w:val="FF0000"/>
        </w:rPr>
      </w:pPr>
    </w:p>
    <w:p w14:paraId="156F6F9E" w14:textId="77777777" w:rsidR="00114B21" w:rsidRPr="001927CF" w:rsidRDefault="00AE5B4D" w:rsidP="001927CF">
      <w:pPr>
        <w:spacing w:line="276" w:lineRule="auto"/>
        <w:rPr>
          <w:rFonts w:ascii="Verdana" w:hAnsi="Verdana"/>
          <w:color w:val="000000" w:themeColor="text1"/>
        </w:rPr>
      </w:pPr>
      <w:r w:rsidRPr="001927CF">
        <w:rPr>
          <w:rFonts w:ascii="Verdana" w:hAnsi="Verdana"/>
          <w:color w:val="000000" w:themeColor="text1"/>
        </w:rPr>
        <w:t>Participants agreed that two key questions should always be as</w:t>
      </w:r>
      <w:r w:rsidR="009A6C65" w:rsidRPr="001927CF">
        <w:rPr>
          <w:rFonts w:ascii="Verdana" w:hAnsi="Verdana"/>
          <w:color w:val="000000" w:themeColor="text1"/>
        </w:rPr>
        <w:t>k</w:t>
      </w:r>
      <w:r w:rsidRPr="001927CF">
        <w:rPr>
          <w:rFonts w:ascii="Verdana" w:hAnsi="Verdana"/>
          <w:color w:val="000000" w:themeColor="text1"/>
        </w:rPr>
        <w:t>ed</w:t>
      </w:r>
      <w:r w:rsidR="009A6C65" w:rsidRPr="001927CF">
        <w:rPr>
          <w:rFonts w:ascii="Verdana" w:hAnsi="Verdana"/>
          <w:color w:val="000000" w:themeColor="text1"/>
        </w:rPr>
        <w:t>:</w:t>
      </w:r>
      <w:r w:rsidRPr="001927CF">
        <w:rPr>
          <w:rFonts w:ascii="Verdana" w:hAnsi="Verdana"/>
          <w:color w:val="000000" w:themeColor="text1"/>
        </w:rPr>
        <w:t xml:space="preserve"> </w:t>
      </w:r>
    </w:p>
    <w:p w14:paraId="5D6B6707" w14:textId="77777777" w:rsidR="00114B21" w:rsidRPr="001927CF" w:rsidRDefault="00AE5B4D" w:rsidP="001927CF">
      <w:pPr>
        <w:pStyle w:val="ListParagraph"/>
        <w:numPr>
          <w:ilvl w:val="1"/>
          <w:numId w:val="20"/>
        </w:numPr>
        <w:spacing w:line="276" w:lineRule="auto"/>
        <w:rPr>
          <w:rFonts w:ascii="Verdana" w:hAnsi="Verdana"/>
          <w:color w:val="000000" w:themeColor="text1"/>
        </w:rPr>
      </w:pPr>
      <w:r w:rsidRPr="001927CF">
        <w:rPr>
          <w:rFonts w:ascii="Verdana" w:hAnsi="Verdana"/>
          <w:color w:val="000000" w:themeColor="text1"/>
        </w:rPr>
        <w:t xml:space="preserve">why </w:t>
      </w:r>
      <w:r w:rsidR="009A6C65" w:rsidRPr="001927CF">
        <w:rPr>
          <w:rFonts w:ascii="Verdana" w:hAnsi="Verdana"/>
          <w:color w:val="000000" w:themeColor="text1"/>
        </w:rPr>
        <w:t xml:space="preserve">are </w:t>
      </w:r>
      <w:r w:rsidRPr="001927CF">
        <w:rPr>
          <w:rFonts w:ascii="Verdana" w:hAnsi="Verdana"/>
          <w:color w:val="000000" w:themeColor="text1"/>
        </w:rPr>
        <w:t>we assess</w:t>
      </w:r>
      <w:r w:rsidR="009A6C65" w:rsidRPr="001927CF">
        <w:rPr>
          <w:rFonts w:ascii="Verdana" w:hAnsi="Verdana"/>
          <w:color w:val="000000" w:themeColor="text1"/>
        </w:rPr>
        <w:t>ing</w:t>
      </w:r>
      <w:r w:rsidR="00114B21" w:rsidRPr="001927CF">
        <w:rPr>
          <w:rFonts w:ascii="Verdana" w:hAnsi="Verdana"/>
          <w:color w:val="000000" w:themeColor="text1"/>
        </w:rPr>
        <w:t>?</w:t>
      </w:r>
      <w:r w:rsidRPr="001927CF">
        <w:rPr>
          <w:rFonts w:ascii="Verdana" w:hAnsi="Verdana"/>
          <w:color w:val="000000" w:themeColor="text1"/>
        </w:rPr>
        <w:t xml:space="preserve"> </w:t>
      </w:r>
    </w:p>
    <w:p w14:paraId="2DBF55AB" w14:textId="160325DC" w:rsidR="00FC1215" w:rsidRPr="00FC1215" w:rsidRDefault="00AE5B4D" w:rsidP="00FC1215">
      <w:pPr>
        <w:pStyle w:val="ListParagraph"/>
        <w:numPr>
          <w:ilvl w:val="1"/>
          <w:numId w:val="20"/>
        </w:numPr>
        <w:spacing w:line="276" w:lineRule="auto"/>
        <w:rPr>
          <w:rFonts w:ascii="Verdana" w:hAnsi="Verdana"/>
          <w:color w:val="000000" w:themeColor="text1"/>
        </w:rPr>
      </w:pPr>
      <w:r w:rsidRPr="001927CF">
        <w:rPr>
          <w:rFonts w:ascii="Verdana" w:hAnsi="Verdana"/>
          <w:color w:val="000000" w:themeColor="text1"/>
        </w:rPr>
        <w:t xml:space="preserve">and why </w:t>
      </w:r>
      <w:r w:rsidR="009A6C65" w:rsidRPr="001927CF">
        <w:rPr>
          <w:rFonts w:ascii="Verdana" w:hAnsi="Verdana"/>
          <w:color w:val="000000" w:themeColor="text1"/>
        </w:rPr>
        <w:t xml:space="preserve">are </w:t>
      </w:r>
      <w:r w:rsidRPr="001927CF">
        <w:rPr>
          <w:rFonts w:ascii="Verdana" w:hAnsi="Verdana"/>
          <w:color w:val="000000" w:themeColor="text1"/>
        </w:rPr>
        <w:t>we assess</w:t>
      </w:r>
      <w:r w:rsidR="009A6C65" w:rsidRPr="001927CF">
        <w:rPr>
          <w:rFonts w:ascii="Verdana" w:hAnsi="Verdana"/>
          <w:color w:val="000000" w:themeColor="text1"/>
        </w:rPr>
        <w:t>ing in</w:t>
      </w:r>
      <w:r w:rsidRPr="001927CF">
        <w:rPr>
          <w:rFonts w:ascii="Verdana" w:hAnsi="Verdana"/>
          <w:color w:val="000000" w:themeColor="text1"/>
        </w:rPr>
        <w:t xml:space="preserve"> the ways we do in history</w:t>
      </w:r>
      <w:r w:rsidR="00114B21" w:rsidRPr="001927CF">
        <w:rPr>
          <w:rFonts w:ascii="Verdana" w:hAnsi="Verdana"/>
          <w:color w:val="000000" w:themeColor="text1"/>
        </w:rPr>
        <w:t xml:space="preserve">? </w:t>
      </w:r>
    </w:p>
    <w:p w14:paraId="0BEFE90B" w14:textId="023059F4" w:rsidR="00C07A4A" w:rsidRPr="00E01A7B" w:rsidRDefault="003472CB" w:rsidP="00C07A4A">
      <w:pPr>
        <w:spacing w:line="276" w:lineRule="auto"/>
        <w:rPr>
          <w:rFonts w:ascii="Verdana" w:hAnsi="Verdana"/>
          <w:color w:val="000000" w:themeColor="text1"/>
        </w:rPr>
      </w:pPr>
      <w:r w:rsidRPr="001927CF">
        <w:rPr>
          <w:rFonts w:ascii="Verdana" w:hAnsi="Verdana"/>
          <w:color w:val="000000" w:themeColor="text1"/>
        </w:rPr>
        <w:t xml:space="preserve">This process of questioning should also encourage us to think about how we build in more choice for students and how assessment can be part of wider curriculum approaches regarding EDI. Designing assessment from a programme level perspective was noted as being key to ensuring </w:t>
      </w:r>
      <w:r w:rsidRPr="001927CF">
        <w:rPr>
          <w:rFonts w:ascii="Verdana" w:hAnsi="Verdana"/>
          <w:color w:val="000000" w:themeColor="text1"/>
        </w:rPr>
        <w:lastRenderedPageBreak/>
        <w:t xml:space="preserve">‘alternative’ assessments can be ‘inclusive’, introducing students to these formats in the first year </w:t>
      </w:r>
      <w:r w:rsidR="00AF1985" w:rsidRPr="001927CF">
        <w:rPr>
          <w:rFonts w:ascii="Verdana" w:hAnsi="Verdana"/>
          <w:color w:val="000000" w:themeColor="text1"/>
        </w:rPr>
        <w:t>to</w:t>
      </w:r>
      <w:r w:rsidRPr="001927CF">
        <w:rPr>
          <w:rFonts w:ascii="Verdana" w:hAnsi="Verdana"/>
          <w:color w:val="000000" w:themeColor="text1"/>
        </w:rPr>
        <w:t xml:space="preserve"> develop their assessment literacy. </w:t>
      </w:r>
      <w:r w:rsidR="00AF1985" w:rsidRPr="001927CF">
        <w:rPr>
          <w:rFonts w:ascii="Verdana" w:hAnsi="Verdana"/>
          <w:color w:val="000000" w:themeColor="text1"/>
        </w:rPr>
        <w:t xml:space="preserve">Creative methods of assessments were discussed, with examples of excellent innovative practice that retained academic rigor cited. </w:t>
      </w:r>
      <w:r w:rsidR="00967DE3" w:rsidRPr="001927CF">
        <w:rPr>
          <w:rFonts w:ascii="Verdana" w:hAnsi="Verdana"/>
          <w:color w:val="000000" w:themeColor="text1"/>
        </w:rPr>
        <w:t>Assessments where students could actively engage with aspects of EDI</w:t>
      </w:r>
      <w:r w:rsidR="002F1E53" w:rsidRPr="001927CF">
        <w:rPr>
          <w:rFonts w:ascii="Verdana" w:hAnsi="Verdana"/>
          <w:color w:val="000000" w:themeColor="text1"/>
        </w:rPr>
        <w:t>,</w:t>
      </w:r>
      <w:r w:rsidR="00967DE3" w:rsidRPr="001927CF">
        <w:rPr>
          <w:rFonts w:ascii="Verdana" w:hAnsi="Verdana"/>
          <w:color w:val="000000" w:themeColor="text1"/>
        </w:rPr>
        <w:t xml:space="preserve"> such as decolonisation, </w:t>
      </w:r>
      <w:r w:rsidR="002F1E53" w:rsidRPr="001927CF">
        <w:rPr>
          <w:rFonts w:ascii="Verdana" w:hAnsi="Verdana"/>
          <w:color w:val="000000" w:themeColor="text1"/>
        </w:rPr>
        <w:t xml:space="preserve">race and ethnicity, </w:t>
      </w:r>
      <w:r w:rsidR="00967DE3" w:rsidRPr="001927CF">
        <w:rPr>
          <w:rFonts w:ascii="Verdana" w:hAnsi="Verdana"/>
          <w:color w:val="000000" w:themeColor="text1"/>
        </w:rPr>
        <w:t>gender and sexuality</w:t>
      </w:r>
      <w:r w:rsidR="002F1E53" w:rsidRPr="001927CF">
        <w:rPr>
          <w:rFonts w:ascii="Verdana" w:hAnsi="Verdana"/>
          <w:color w:val="000000" w:themeColor="text1"/>
        </w:rPr>
        <w:t>, d</w:t>
      </w:r>
      <w:r w:rsidR="00967DE3" w:rsidRPr="001927CF">
        <w:rPr>
          <w:rFonts w:ascii="Verdana" w:hAnsi="Verdana"/>
          <w:color w:val="000000" w:themeColor="text1"/>
        </w:rPr>
        <w:t>isability</w:t>
      </w:r>
      <w:r w:rsidR="002F1E53" w:rsidRPr="001927CF">
        <w:rPr>
          <w:rFonts w:ascii="Verdana" w:hAnsi="Verdana"/>
          <w:color w:val="000000" w:themeColor="text1"/>
        </w:rPr>
        <w:t xml:space="preserve"> or poverty, were </w:t>
      </w:r>
      <w:r w:rsidR="00AF1985" w:rsidRPr="001927CF">
        <w:rPr>
          <w:rFonts w:ascii="Verdana" w:hAnsi="Verdana"/>
          <w:color w:val="000000" w:themeColor="text1"/>
        </w:rPr>
        <w:t xml:space="preserve">also </w:t>
      </w:r>
      <w:r w:rsidR="002F1E53" w:rsidRPr="001927CF">
        <w:rPr>
          <w:rFonts w:ascii="Verdana" w:hAnsi="Verdana"/>
          <w:color w:val="000000" w:themeColor="text1"/>
        </w:rPr>
        <w:t>discussed. This could include engagement with public history</w:t>
      </w:r>
      <w:r w:rsidRPr="001927CF">
        <w:rPr>
          <w:rFonts w:ascii="Verdana" w:hAnsi="Verdana"/>
          <w:color w:val="000000" w:themeColor="text1"/>
        </w:rPr>
        <w:t xml:space="preserve">, designing their own decolonised curriculum or historicization of contemporary issues. </w:t>
      </w:r>
    </w:p>
    <w:p w14:paraId="51026B52" w14:textId="77777777" w:rsidR="00006A6D" w:rsidRDefault="00006A6D" w:rsidP="00C07A4A">
      <w:pPr>
        <w:spacing w:line="276" w:lineRule="auto"/>
        <w:rPr>
          <w:rFonts w:ascii="Verdana" w:hAnsi="Verdana"/>
        </w:rPr>
      </w:pPr>
    </w:p>
    <w:p w14:paraId="0DCC0F7C" w14:textId="77777777" w:rsidR="00C07A4A" w:rsidRDefault="00C07A4A" w:rsidP="00061DE5">
      <w:pPr>
        <w:pStyle w:val="Heading1"/>
      </w:pPr>
      <w:r w:rsidRPr="00912604">
        <w:t xml:space="preserve">Pastoral care and academic support </w:t>
      </w:r>
    </w:p>
    <w:p w14:paraId="4795940F" w14:textId="28A1E87D" w:rsidR="00C07A4A" w:rsidRPr="001927CF" w:rsidRDefault="00C07A4A" w:rsidP="00C07A4A">
      <w:pPr>
        <w:spacing w:line="276" w:lineRule="auto"/>
        <w:rPr>
          <w:rFonts w:ascii="Verdana" w:hAnsi="Verdana"/>
          <w:color w:val="000000" w:themeColor="text1"/>
        </w:rPr>
      </w:pPr>
      <w:r w:rsidRPr="001927CF">
        <w:rPr>
          <w:rFonts w:ascii="Verdana" w:hAnsi="Verdana"/>
          <w:color w:val="000000" w:themeColor="text1"/>
        </w:rPr>
        <w:t>The growing pressures and challenges faced by students and the often-insufficient support to address</w:t>
      </w:r>
      <w:r>
        <w:rPr>
          <w:rFonts w:ascii="Verdana" w:hAnsi="Verdana"/>
          <w:color w:val="000000" w:themeColor="text1"/>
        </w:rPr>
        <w:t xml:space="preserve"> the</w:t>
      </w:r>
      <w:r w:rsidRPr="001927CF">
        <w:rPr>
          <w:rFonts w:ascii="Verdana" w:hAnsi="Verdana"/>
          <w:color w:val="000000" w:themeColor="text1"/>
        </w:rPr>
        <w:t xml:space="preserve"> increased demand for support was highlighted as a matter of concern amongst </w:t>
      </w:r>
      <w:r w:rsidR="00F56BB1">
        <w:rPr>
          <w:rFonts w:ascii="Verdana" w:hAnsi="Verdana"/>
          <w:color w:val="000000" w:themeColor="text1"/>
        </w:rPr>
        <w:t xml:space="preserve">the </w:t>
      </w:r>
      <w:r w:rsidRPr="001927CF">
        <w:rPr>
          <w:rFonts w:ascii="Verdana" w:hAnsi="Verdana"/>
          <w:color w:val="000000" w:themeColor="text1"/>
        </w:rPr>
        <w:t>participants</w:t>
      </w:r>
      <w:r w:rsidR="00F56BB1">
        <w:rPr>
          <w:rFonts w:ascii="Verdana" w:hAnsi="Verdana"/>
          <w:color w:val="000000" w:themeColor="text1"/>
        </w:rPr>
        <w:t xml:space="preserve"> in our research</w:t>
      </w:r>
      <w:r w:rsidRPr="001927CF">
        <w:rPr>
          <w:rFonts w:ascii="Verdana" w:hAnsi="Verdana"/>
          <w:color w:val="000000" w:themeColor="text1"/>
        </w:rPr>
        <w:t xml:space="preserve">. </w:t>
      </w:r>
    </w:p>
    <w:p w14:paraId="505DD9FE" w14:textId="77777777" w:rsidR="00C07A4A" w:rsidRPr="001927CF" w:rsidRDefault="00C07A4A" w:rsidP="00C07A4A">
      <w:pPr>
        <w:spacing w:line="276" w:lineRule="auto"/>
        <w:ind w:left="360"/>
        <w:rPr>
          <w:rFonts w:ascii="Verdana" w:hAnsi="Verdana"/>
          <w:color w:val="000000" w:themeColor="text1"/>
        </w:rPr>
      </w:pPr>
    </w:p>
    <w:p w14:paraId="3DB8FD33" w14:textId="04D269F3" w:rsidR="00671088" w:rsidRDefault="00C07A4A" w:rsidP="00671088">
      <w:pPr>
        <w:spacing w:line="276" w:lineRule="auto"/>
        <w:rPr>
          <w:rFonts w:ascii="Verdana" w:hAnsi="Verdana"/>
          <w:color w:val="000000" w:themeColor="text1"/>
        </w:rPr>
      </w:pPr>
      <w:r w:rsidRPr="001927CF">
        <w:rPr>
          <w:rFonts w:ascii="Verdana" w:hAnsi="Verdana"/>
          <w:color w:val="000000" w:themeColor="text1"/>
        </w:rPr>
        <w:t>Mental health in HE was recognised as a priority prior to the pandemic</w:t>
      </w:r>
      <w:r>
        <w:rPr>
          <w:rFonts w:ascii="Verdana" w:hAnsi="Verdana"/>
          <w:color w:val="000000" w:themeColor="text1"/>
        </w:rPr>
        <w:t>,</w:t>
      </w:r>
      <w:r w:rsidRPr="001927CF">
        <w:rPr>
          <w:rFonts w:ascii="Verdana" w:hAnsi="Verdana"/>
          <w:color w:val="000000" w:themeColor="text1"/>
        </w:rPr>
        <w:t xml:space="preserve"> although participants noted it has certainly been exacerbated during and after. </w:t>
      </w:r>
      <w:r w:rsidR="00671088" w:rsidRPr="00671088">
        <w:rPr>
          <w:rFonts w:ascii="Verdana" w:hAnsi="Verdana"/>
          <w:color w:val="000000" w:themeColor="text1"/>
        </w:rPr>
        <w:t xml:space="preserve">A report by the House of Commons on </w:t>
      </w:r>
      <w:r w:rsidR="00C33D0E">
        <w:rPr>
          <w:rFonts w:ascii="Verdana" w:hAnsi="Verdana"/>
          <w:color w:val="000000" w:themeColor="text1"/>
        </w:rPr>
        <w:t>s</w:t>
      </w:r>
      <w:r w:rsidR="00671088" w:rsidRPr="00671088">
        <w:rPr>
          <w:rFonts w:ascii="Verdana" w:hAnsi="Verdana"/>
          <w:color w:val="000000" w:themeColor="text1"/>
        </w:rPr>
        <w:t>tudent mental health in England found that according to HESA data, in 2021-2022 the number of students who said they had a mental health condition was three and a half time higher than reported in 2014-2015. The report identifies a number of factors specific to the university experience which are believed to be affecting students’ mental health: moving away from home and from their support network, particularly in first year; pressures to secure a high-class degree; and financial pressures with rising costs of living, with 90% of students surveyed by the National Union of Students reporting that rising costs of living had had a negative impact on their mental health.</w:t>
      </w:r>
      <w:r w:rsidR="00671088" w:rsidRPr="00671088">
        <w:rPr>
          <w:rFonts w:ascii="Verdana" w:hAnsi="Verdana"/>
          <w:color w:val="000000" w:themeColor="text1"/>
          <w:vertAlign w:val="superscript"/>
        </w:rPr>
        <w:footnoteReference w:id="73"/>
      </w:r>
      <w:r w:rsidR="00671088" w:rsidRPr="00671088">
        <w:rPr>
          <w:rFonts w:ascii="Verdana" w:hAnsi="Verdana"/>
          <w:color w:val="000000" w:themeColor="text1"/>
        </w:rPr>
        <w:t xml:space="preserve"> The Covid</w:t>
      </w:r>
      <w:r w:rsidR="006E5233">
        <w:rPr>
          <w:rFonts w:ascii="Verdana" w:hAnsi="Verdana"/>
          <w:color w:val="000000" w:themeColor="text1"/>
        </w:rPr>
        <w:t>-19</w:t>
      </w:r>
      <w:r w:rsidR="00671088" w:rsidRPr="00671088">
        <w:rPr>
          <w:rFonts w:ascii="Verdana" w:hAnsi="Verdana"/>
          <w:color w:val="000000" w:themeColor="text1"/>
        </w:rPr>
        <w:t xml:space="preserve"> pandemic caused significant disruption and anxiety amongst students, which impacted the mental health and wellbeing of staff and students alike. Student mental health charity, Student Minds, analysed data concerning the student experience throughout 2020 and 2021, and found that 74% of students reported that </w:t>
      </w:r>
      <w:r w:rsidR="00671088" w:rsidRPr="00671088">
        <w:rPr>
          <w:rFonts w:ascii="Verdana" w:hAnsi="Verdana"/>
          <w:color w:val="000000" w:themeColor="text1"/>
        </w:rPr>
        <w:lastRenderedPageBreak/>
        <w:t>Covid had a negative impact on their mental health and wellbeing at university, while 49% of students reported that the pandemic had negative consequences for their financial situation and two thirds of respondents said that they ‘often felt isolated or lonely since March 2020’.</w:t>
      </w:r>
      <w:r w:rsidR="00671088" w:rsidRPr="00671088">
        <w:rPr>
          <w:rFonts w:ascii="Verdana" w:hAnsi="Verdana"/>
          <w:color w:val="000000" w:themeColor="text1"/>
          <w:vertAlign w:val="superscript"/>
        </w:rPr>
        <w:footnoteReference w:id="74"/>
      </w:r>
      <w:r w:rsidR="00671088" w:rsidRPr="00671088">
        <w:rPr>
          <w:rFonts w:ascii="Verdana" w:hAnsi="Verdana"/>
          <w:color w:val="000000" w:themeColor="text1"/>
        </w:rPr>
        <w:t xml:space="preserve"> The experience of our participants clearly reflects the national trend: many noted a large number of students being diagnosed with mental health or a range of chronic health conditions before university and that there needed to be increased support to address this demand. Some colleagues had undertaken mental health first aid training but there were concerns that staff should be adequately supported, especially as they were sometimes the first point of contact for students experiencing traumatic and distressing incidents. </w:t>
      </w:r>
    </w:p>
    <w:p w14:paraId="0A59799E" w14:textId="77777777" w:rsidR="00671088" w:rsidRDefault="00671088" w:rsidP="00671088">
      <w:pPr>
        <w:spacing w:line="276" w:lineRule="auto"/>
        <w:rPr>
          <w:rFonts w:ascii="Verdana" w:hAnsi="Verdana"/>
          <w:color w:val="000000" w:themeColor="text1"/>
        </w:rPr>
      </w:pPr>
    </w:p>
    <w:p w14:paraId="4EB554EE" w14:textId="735D34E0" w:rsidR="00671088" w:rsidRPr="001927CF" w:rsidRDefault="00671088" w:rsidP="00FC73E8">
      <w:pPr>
        <w:spacing w:line="276" w:lineRule="auto"/>
        <w:rPr>
          <w:rFonts w:ascii="Verdana" w:hAnsi="Verdana"/>
          <w:color w:val="000000" w:themeColor="text1"/>
        </w:rPr>
      </w:pPr>
      <w:r w:rsidRPr="00671088">
        <w:rPr>
          <w:rFonts w:ascii="Verdana" w:hAnsi="Verdana"/>
          <w:color w:val="000000" w:themeColor="text1"/>
        </w:rPr>
        <w:t>In post-pandemic higher education, pastoral and academic support services have become central to students’ retention, achievement and wellbeing. Whilst many institutions have approached mental health and wellbeing from a strategic perspective within the organisation, the growth of academic and pastoral support provision, particularly of wellbeing services, has not always been organic and has often resulted in a complicated, bureaucratic and fragmented system that both staff and students find it difficult to navigate. Assessing the sector’s attempts to improve student support, Professor Edward Peck, Vice Chancellor of Nottingham Trent University, notes that ‘Most interventions lack robust evidence, require investment in a time of financial constraint and create expectations of colleagues, in particular academics, who may not be well equipped to implement them’.</w:t>
      </w:r>
      <w:r w:rsidRPr="00671088">
        <w:rPr>
          <w:rFonts w:ascii="Verdana" w:hAnsi="Verdana"/>
          <w:color w:val="000000" w:themeColor="text1"/>
          <w:vertAlign w:val="superscript"/>
        </w:rPr>
        <w:footnoteReference w:id="75"/>
      </w:r>
      <w:r w:rsidRPr="00671088">
        <w:rPr>
          <w:rFonts w:ascii="Verdana" w:hAnsi="Verdana"/>
          <w:color w:val="000000" w:themeColor="text1"/>
        </w:rPr>
        <w:t xml:space="preserve"> The Student Needs Framework, a collaboration between Advance</w:t>
      </w:r>
      <w:r>
        <w:rPr>
          <w:rFonts w:ascii="Verdana" w:hAnsi="Verdana"/>
          <w:color w:val="000000" w:themeColor="text1"/>
        </w:rPr>
        <w:t xml:space="preserve"> </w:t>
      </w:r>
      <w:r w:rsidRPr="00671088">
        <w:rPr>
          <w:rFonts w:ascii="Verdana" w:hAnsi="Verdana"/>
          <w:color w:val="000000" w:themeColor="text1"/>
        </w:rPr>
        <w:t>HE, UUK Student Policy Network and the Higher Education Student Support Champion, was conceived as a template for HEIs to develop support systems as a response to the core needs of their students, which are broadly divided into two categories: needs that ‘relate to students’ individual competence, confidence and resilience’, and those that enable students ‘to build their feelings of belonging and community’.</w:t>
      </w:r>
      <w:r w:rsidRPr="00671088">
        <w:rPr>
          <w:rFonts w:ascii="Verdana" w:hAnsi="Verdana"/>
          <w:color w:val="000000" w:themeColor="text1"/>
          <w:vertAlign w:val="superscript"/>
        </w:rPr>
        <w:footnoteReference w:id="76"/>
      </w:r>
    </w:p>
    <w:p w14:paraId="07C49521" w14:textId="4456F5EC" w:rsidR="00C07A4A" w:rsidRDefault="00671088" w:rsidP="00C07A4A">
      <w:pPr>
        <w:spacing w:line="276" w:lineRule="auto"/>
        <w:rPr>
          <w:rFonts w:ascii="Verdana" w:hAnsi="Verdana"/>
          <w:color w:val="000000" w:themeColor="text1"/>
        </w:rPr>
      </w:pPr>
      <w:r w:rsidRPr="00671088">
        <w:rPr>
          <w:rFonts w:ascii="Verdana" w:hAnsi="Verdana"/>
          <w:color w:val="000000" w:themeColor="text1"/>
        </w:rPr>
        <w:lastRenderedPageBreak/>
        <w:t>Academic and pastoral support delivered through personal tutoring is regarded as central to support student transition into university and develop a sense of belonging by facilitating academic and social integration.</w:t>
      </w:r>
      <w:r w:rsidRPr="00671088">
        <w:rPr>
          <w:rFonts w:ascii="Verdana" w:hAnsi="Verdana"/>
          <w:color w:val="000000" w:themeColor="text1"/>
          <w:vertAlign w:val="superscript"/>
        </w:rPr>
        <w:footnoteReference w:id="77"/>
      </w:r>
      <w:r w:rsidRPr="00671088">
        <w:rPr>
          <w:rFonts w:ascii="Verdana" w:hAnsi="Verdana"/>
          <w:color w:val="000000" w:themeColor="text1"/>
        </w:rPr>
        <w:t xml:space="preserve"> </w:t>
      </w:r>
      <w:r>
        <w:rPr>
          <w:rFonts w:ascii="Verdana" w:hAnsi="Verdana"/>
          <w:color w:val="000000" w:themeColor="text1"/>
        </w:rPr>
        <w:t>Focus group p</w:t>
      </w:r>
      <w:r w:rsidR="00C07A4A" w:rsidRPr="001927CF">
        <w:rPr>
          <w:rFonts w:ascii="Verdana" w:hAnsi="Verdana"/>
          <w:color w:val="000000" w:themeColor="text1"/>
        </w:rPr>
        <w:t xml:space="preserve">articipants discussed the crucial role </w:t>
      </w:r>
      <w:r w:rsidR="00C07A4A">
        <w:rPr>
          <w:rFonts w:ascii="Verdana" w:hAnsi="Verdana"/>
          <w:color w:val="000000" w:themeColor="text1"/>
        </w:rPr>
        <w:t xml:space="preserve">of </w:t>
      </w:r>
      <w:r w:rsidR="00C07A4A" w:rsidRPr="001927CF">
        <w:rPr>
          <w:rFonts w:ascii="Verdana" w:hAnsi="Verdana"/>
          <w:color w:val="000000" w:themeColor="text1"/>
        </w:rPr>
        <w:t>effective personal tutoring systems and compared different models. One highlighted the success of embedding personal tutoring in the curriculum, with colleagues acting as both personal tutor and seminar tutor for groups in the first and final year of their UG degree</w:t>
      </w:r>
      <w:r w:rsidR="00C07A4A" w:rsidRPr="00671088">
        <w:rPr>
          <w:rFonts w:ascii="Verdana" w:hAnsi="Verdana"/>
          <w:color w:val="000000" w:themeColor="text1"/>
        </w:rPr>
        <w:t xml:space="preserve">. </w:t>
      </w:r>
      <w:r w:rsidRPr="00671088">
        <w:rPr>
          <w:rFonts w:ascii="Verdana" w:hAnsi="Verdana"/>
          <w:color w:val="000000" w:themeColor="text1"/>
        </w:rPr>
        <w:t xml:space="preserve">This </w:t>
      </w:r>
      <w:r w:rsidR="00C11ADC">
        <w:rPr>
          <w:rFonts w:ascii="Verdana" w:hAnsi="Verdana"/>
          <w:color w:val="000000" w:themeColor="text1"/>
        </w:rPr>
        <w:t>c</w:t>
      </w:r>
      <w:r w:rsidRPr="00671088">
        <w:rPr>
          <w:rFonts w:ascii="Verdana" w:hAnsi="Verdana"/>
          <w:color w:val="000000" w:themeColor="text1"/>
        </w:rPr>
        <w:t>urriculum integrated model has become more widespread in recent years due to its efficient use of resources and ability to generate a sense of belonging amongst students.</w:t>
      </w:r>
      <w:r w:rsidRPr="00671088">
        <w:rPr>
          <w:rStyle w:val="FootnoteReference"/>
          <w:rFonts w:ascii="Verdana" w:hAnsi="Verdana"/>
          <w:color w:val="000000" w:themeColor="text1"/>
        </w:rPr>
        <w:footnoteReference w:id="78"/>
      </w:r>
      <w:r w:rsidRPr="00671088">
        <w:rPr>
          <w:rFonts w:ascii="Verdana" w:hAnsi="Verdana"/>
          <w:color w:val="000000" w:themeColor="text1"/>
        </w:rPr>
        <w:t xml:space="preserve"> </w:t>
      </w:r>
      <w:r w:rsidR="00C07A4A" w:rsidRPr="00671088">
        <w:rPr>
          <w:rFonts w:ascii="Verdana" w:hAnsi="Verdana"/>
          <w:color w:val="000000" w:themeColor="text1"/>
        </w:rPr>
        <w:t>The v</w:t>
      </w:r>
      <w:r w:rsidR="00C07A4A" w:rsidRPr="001927CF">
        <w:rPr>
          <w:rFonts w:ascii="Verdana" w:hAnsi="Verdana"/>
          <w:color w:val="000000" w:themeColor="text1"/>
        </w:rPr>
        <w:t>alue of ‘knowing our students’ was stressed. Support plans, although important, were considered very generic and focused on mitigating problems rather than supporting students on a day-day basis. Often, we know very little about the students we teach – staff may engage with students through large group teaching or one</w:t>
      </w:r>
      <w:r w:rsidR="00C07A4A">
        <w:rPr>
          <w:rFonts w:ascii="Verdana" w:hAnsi="Verdana"/>
          <w:color w:val="000000" w:themeColor="text1"/>
        </w:rPr>
        <w:t>-</w:t>
      </w:r>
      <w:r w:rsidR="00C07A4A" w:rsidRPr="001927CF">
        <w:rPr>
          <w:rFonts w:ascii="Verdana" w:hAnsi="Verdana"/>
          <w:color w:val="000000" w:themeColor="text1"/>
        </w:rPr>
        <w:t xml:space="preserve">off </w:t>
      </w:r>
      <w:r w:rsidR="00C07A4A">
        <w:rPr>
          <w:rFonts w:ascii="Verdana" w:hAnsi="Verdana"/>
          <w:color w:val="000000" w:themeColor="text1"/>
        </w:rPr>
        <w:t>classe</w:t>
      </w:r>
      <w:r w:rsidR="00C07A4A" w:rsidRPr="001927CF">
        <w:rPr>
          <w:rFonts w:ascii="Verdana" w:hAnsi="Verdana"/>
          <w:color w:val="000000" w:themeColor="text1"/>
        </w:rPr>
        <w:t xml:space="preserve">s with no substantive data </w:t>
      </w:r>
      <w:r w:rsidR="00C07A4A">
        <w:rPr>
          <w:rFonts w:ascii="Verdana" w:hAnsi="Verdana"/>
          <w:color w:val="000000" w:themeColor="text1"/>
        </w:rPr>
        <w:t>about them or their other work that could</w:t>
      </w:r>
      <w:r w:rsidR="00C07A4A" w:rsidRPr="001927CF">
        <w:rPr>
          <w:rFonts w:ascii="Verdana" w:hAnsi="Verdana"/>
          <w:color w:val="000000" w:themeColor="text1"/>
        </w:rPr>
        <w:t xml:space="preserve"> </w:t>
      </w:r>
      <w:r w:rsidR="00C07A4A">
        <w:rPr>
          <w:rFonts w:ascii="Verdana" w:hAnsi="Verdana"/>
          <w:color w:val="000000" w:themeColor="text1"/>
        </w:rPr>
        <w:t xml:space="preserve">help with </w:t>
      </w:r>
      <w:r w:rsidR="00C07A4A" w:rsidRPr="001927CF">
        <w:rPr>
          <w:rFonts w:ascii="Verdana" w:hAnsi="Verdana"/>
          <w:color w:val="000000" w:themeColor="text1"/>
        </w:rPr>
        <w:t xml:space="preserve">support. Some participants spoke about how certain history modules created ‘connection and community’ and meant students were more willing to discuss their own experiences with their tutor. </w:t>
      </w:r>
      <w:r w:rsidR="006F5701">
        <w:rPr>
          <w:rFonts w:ascii="Verdana" w:hAnsi="Verdana"/>
          <w:color w:val="000000" w:themeColor="text1"/>
        </w:rPr>
        <w:t xml:space="preserve">These included modules connected either with personal tutoring or with interests and identity (e.g. special subjects or modules with a focus of race and ethnicity, gender and sexuality, health and disability). </w:t>
      </w:r>
      <w:r w:rsidR="00C07A4A" w:rsidRPr="001927CF">
        <w:rPr>
          <w:rFonts w:ascii="Verdana" w:hAnsi="Verdana"/>
          <w:color w:val="000000" w:themeColor="text1"/>
        </w:rPr>
        <w:t xml:space="preserve">Others discussed how they invited students to introduce themselves and share anything that might help support them during their degree or a module. The benefits of this approach were noted to include foregrounding what the students felt was important and ensuring students without formal diagnoses or support plans could still be supported, although it was acknowledged that some students may not want to share. </w:t>
      </w:r>
      <w:r w:rsidR="00C07A4A" w:rsidRPr="00A625CE">
        <w:rPr>
          <w:rFonts w:ascii="Verdana" w:hAnsi="Verdana"/>
          <w:color w:val="000000" w:themeColor="text1"/>
        </w:rPr>
        <w:t xml:space="preserve">The move to online learning during the pandemic sometimes made it more difficult to check-in with students, with participants stressing the importance of reaching out to students and letting them know you are there, but acknowledging the risks associated with less opportunities for informal </w:t>
      </w:r>
      <w:r w:rsidR="00C07A4A" w:rsidRPr="00A625CE">
        <w:rPr>
          <w:rFonts w:ascii="Verdana" w:hAnsi="Verdana"/>
          <w:color w:val="000000" w:themeColor="text1"/>
        </w:rPr>
        <w:lastRenderedPageBreak/>
        <w:t>encounters on campus (e.g. before or after a lecture, seminar or workshop).</w:t>
      </w:r>
    </w:p>
    <w:p w14:paraId="1B99B9E1" w14:textId="77777777" w:rsidR="00C07A4A" w:rsidRDefault="00C07A4A" w:rsidP="00C07A4A">
      <w:pPr>
        <w:spacing w:line="276" w:lineRule="auto"/>
        <w:rPr>
          <w:rFonts w:ascii="Verdana" w:hAnsi="Verdana"/>
          <w:b/>
          <w:bCs/>
          <w:color w:val="000000" w:themeColor="text1"/>
        </w:rPr>
      </w:pPr>
    </w:p>
    <w:p w14:paraId="737CAAA0" w14:textId="1878BE39" w:rsidR="00C07A4A" w:rsidRPr="00F623B3" w:rsidRDefault="00C07A4A" w:rsidP="00061DE5">
      <w:pPr>
        <w:pStyle w:val="Heading1"/>
        <w:rPr>
          <w:color w:val="FF0000"/>
        </w:rPr>
      </w:pPr>
      <w:r w:rsidRPr="0024110B">
        <w:t xml:space="preserve">Community Building and Belonging </w:t>
      </w:r>
    </w:p>
    <w:p w14:paraId="5A35AD75" w14:textId="2335E8F8" w:rsidR="00A71472" w:rsidRDefault="00C07A4A" w:rsidP="00C07A4A">
      <w:pPr>
        <w:spacing w:line="276" w:lineRule="auto"/>
        <w:rPr>
          <w:rFonts w:ascii="Verdana" w:hAnsi="Verdana"/>
          <w:color w:val="000000" w:themeColor="text1"/>
        </w:rPr>
      </w:pPr>
      <w:r w:rsidRPr="001927CF">
        <w:rPr>
          <w:rFonts w:ascii="Verdana" w:hAnsi="Verdana"/>
          <w:color w:val="000000" w:themeColor="text1"/>
        </w:rPr>
        <w:t>Participants noted the importance of the community building and the idea of belonging</w:t>
      </w:r>
      <w:r w:rsidR="006F5701">
        <w:rPr>
          <w:rFonts w:ascii="Verdana" w:hAnsi="Verdana"/>
          <w:color w:val="000000" w:themeColor="text1"/>
        </w:rPr>
        <w:t xml:space="preserve">, which builds </w:t>
      </w:r>
      <w:r w:rsidR="00EA542A">
        <w:rPr>
          <w:rFonts w:ascii="Verdana" w:hAnsi="Verdana"/>
          <w:color w:val="000000" w:themeColor="text1"/>
        </w:rPr>
        <w:t>o</w:t>
      </w:r>
      <w:r w:rsidR="006F5701">
        <w:rPr>
          <w:rFonts w:ascii="Verdana" w:hAnsi="Verdana"/>
          <w:color w:val="000000" w:themeColor="text1"/>
        </w:rPr>
        <w:t>n the ‘sense of membership’ recognised and developed in the literature dealing with students’ experiences of higher education.</w:t>
      </w:r>
      <w:r w:rsidR="006F5701" w:rsidRPr="006F5701">
        <w:rPr>
          <w:rFonts w:ascii="Verdana" w:hAnsi="Verdana"/>
          <w:color w:val="000000" w:themeColor="text1"/>
          <w:vertAlign w:val="superscript"/>
        </w:rPr>
        <w:footnoteReference w:id="79"/>
      </w:r>
      <w:r w:rsidRPr="001927CF">
        <w:rPr>
          <w:rFonts w:ascii="Verdana" w:hAnsi="Verdana"/>
          <w:color w:val="000000" w:themeColor="text1"/>
        </w:rPr>
        <w:t xml:space="preserve"> Research </w:t>
      </w:r>
      <w:r w:rsidR="006F5701">
        <w:rPr>
          <w:rFonts w:ascii="Verdana" w:hAnsi="Verdana"/>
          <w:color w:val="000000" w:themeColor="text1"/>
        </w:rPr>
        <w:t>on student</w:t>
      </w:r>
      <w:r w:rsidRPr="001927CF">
        <w:rPr>
          <w:rFonts w:ascii="Verdana" w:hAnsi="Verdana"/>
          <w:color w:val="000000" w:themeColor="text1"/>
        </w:rPr>
        <w:t xml:space="preserve"> belonging</w:t>
      </w:r>
      <w:r w:rsidR="006F5701">
        <w:rPr>
          <w:rFonts w:ascii="Verdana" w:hAnsi="Verdana"/>
          <w:color w:val="000000" w:themeColor="text1"/>
        </w:rPr>
        <w:t xml:space="preserve"> is wide and suggests</w:t>
      </w:r>
      <w:r w:rsidRPr="001927CF">
        <w:rPr>
          <w:rFonts w:ascii="Verdana" w:hAnsi="Verdana"/>
          <w:color w:val="000000" w:themeColor="text1"/>
        </w:rPr>
        <w:t xml:space="preserve"> </w:t>
      </w:r>
      <w:r w:rsidR="006F5701">
        <w:rPr>
          <w:rFonts w:ascii="Verdana" w:hAnsi="Verdana"/>
          <w:color w:val="000000" w:themeColor="text1"/>
        </w:rPr>
        <w:t>that a sense of belonging can</w:t>
      </w:r>
      <w:r w:rsidRPr="001927CF">
        <w:rPr>
          <w:rFonts w:ascii="Verdana" w:hAnsi="Verdana"/>
          <w:color w:val="000000" w:themeColor="text1"/>
        </w:rPr>
        <w:t xml:space="preserve"> affect the overall experience of university, with students who do not develop this far more likely to experience poor mental health and wellbeing and to disengage from or leave their studies.</w:t>
      </w:r>
      <w:r w:rsidRPr="001927CF">
        <w:rPr>
          <w:rStyle w:val="FootnoteReference"/>
          <w:rFonts w:ascii="Verdana" w:hAnsi="Verdana"/>
          <w:color w:val="000000" w:themeColor="text1"/>
        </w:rPr>
        <w:footnoteReference w:id="80"/>
      </w:r>
      <w:r w:rsidRPr="001927CF">
        <w:rPr>
          <w:rFonts w:ascii="Verdana" w:hAnsi="Verdana"/>
          <w:color w:val="000000" w:themeColor="text1"/>
        </w:rPr>
        <w:t xml:space="preserve"> </w:t>
      </w:r>
      <w:r w:rsidR="006F5701">
        <w:rPr>
          <w:rFonts w:ascii="Verdana" w:hAnsi="Verdana"/>
          <w:color w:val="000000" w:themeColor="text1"/>
        </w:rPr>
        <w:t xml:space="preserve">Conversely, students </w:t>
      </w:r>
      <w:r w:rsidR="006F5701" w:rsidRPr="006F5701">
        <w:rPr>
          <w:rFonts w:ascii="Verdana" w:hAnsi="Verdana"/>
          <w:color w:val="000000" w:themeColor="text1"/>
        </w:rPr>
        <w:t>who experience a high sense of belonging tend to display higher emotional and behavioural engagement; in the increasingly diverse higher education student population, sense of belonging has been found to be of particular significance for the engagement and success of first generation students.</w:t>
      </w:r>
      <w:r w:rsidR="006F5701" w:rsidRPr="006F5701">
        <w:rPr>
          <w:rFonts w:ascii="Verdana" w:hAnsi="Verdana"/>
          <w:color w:val="000000" w:themeColor="text1"/>
          <w:vertAlign w:val="superscript"/>
        </w:rPr>
        <w:footnoteReference w:id="81"/>
      </w:r>
      <w:r w:rsidR="006F5701">
        <w:rPr>
          <w:rFonts w:ascii="Verdana" w:hAnsi="Verdana"/>
          <w:color w:val="000000" w:themeColor="text1"/>
        </w:rPr>
        <w:t xml:space="preserve"> </w:t>
      </w:r>
      <w:r w:rsidRPr="001927CF">
        <w:rPr>
          <w:rFonts w:ascii="Verdana" w:hAnsi="Verdana"/>
          <w:color w:val="000000" w:themeColor="text1"/>
        </w:rPr>
        <w:t>Moreover, the role of specific places and spaces (especially informal places, green spaces and living arrangements) through which to build connections and community has been acknowledged.</w:t>
      </w:r>
      <w:r w:rsidRPr="001927CF">
        <w:rPr>
          <w:rStyle w:val="FootnoteReference"/>
          <w:rFonts w:ascii="Verdana" w:hAnsi="Verdana"/>
          <w:color w:val="000000" w:themeColor="text1"/>
        </w:rPr>
        <w:footnoteReference w:id="82"/>
      </w:r>
      <w:r w:rsidR="006F5701">
        <w:rPr>
          <w:rFonts w:ascii="Verdana" w:hAnsi="Verdana"/>
          <w:color w:val="000000" w:themeColor="text1"/>
        </w:rPr>
        <w:t xml:space="preserve">  </w:t>
      </w:r>
      <w:r w:rsidR="006F5701" w:rsidRPr="006F5701">
        <w:rPr>
          <w:rFonts w:ascii="Verdana" w:hAnsi="Verdana"/>
          <w:color w:val="000000" w:themeColor="text1"/>
        </w:rPr>
        <w:t>Thus, student belonging has gradually emerged as a multi-dimensional phenomenon, which involves the personal space (‘self-identification, self-esteem and life satisfaction) as well as academic and social engagement, and surroundings (including natural and cultural spaces).</w:t>
      </w:r>
      <w:r w:rsidR="006F5701" w:rsidRPr="006F5701">
        <w:rPr>
          <w:rStyle w:val="FootnoteReference"/>
          <w:rFonts w:ascii="Verdana" w:hAnsi="Verdana"/>
          <w:color w:val="000000" w:themeColor="text1"/>
        </w:rPr>
        <w:footnoteReference w:id="83"/>
      </w:r>
    </w:p>
    <w:p w14:paraId="70AFC43E" w14:textId="77777777" w:rsidR="00DC7DB4" w:rsidRDefault="00DC7DB4" w:rsidP="00C07A4A">
      <w:pPr>
        <w:spacing w:line="276" w:lineRule="auto"/>
        <w:rPr>
          <w:rFonts w:ascii="Verdana" w:hAnsi="Verdana"/>
          <w:color w:val="000000" w:themeColor="text1"/>
        </w:rPr>
      </w:pPr>
    </w:p>
    <w:p w14:paraId="135C0EFA" w14:textId="77777777" w:rsidR="00A71472" w:rsidRPr="00A71472" w:rsidRDefault="00A71472" w:rsidP="00A71472">
      <w:pPr>
        <w:spacing w:line="276" w:lineRule="auto"/>
        <w:rPr>
          <w:rFonts w:ascii="Verdana" w:hAnsi="Verdana"/>
          <w:color w:val="000000" w:themeColor="text1"/>
        </w:rPr>
      </w:pPr>
      <w:r w:rsidRPr="00A71472">
        <w:rPr>
          <w:rFonts w:ascii="Verdana" w:hAnsi="Verdana"/>
          <w:color w:val="000000" w:themeColor="text1"/>
        </w:rPr>
        <w:lastRenderedPageBreak/>
        <w:t>The relationship between student belonging and retention and attrition has been widely explored, with some studies focussing on the experience of first year students and research students as the group most susceptible to attrition.</w:t>
      </w:r>
      <w:r w:rsidRPr="00A71472">
        <w:rPr>
          <w:rFonts w:ascii="Verdana" w:hAnsi="Verdana"/>
          <w:color w:val="000000" w:themeColor="text1"/>
          <w:vertAlign w:val="superscript"/>
        </w:rPr>
        <w:footnoteReference w:id="84"/>
      </w:r>
      <w:r w:rsidRPr="00A71472">
        <w:rPr>
          <w:rFonts w:ascii="Verdana" w:hAnsi="Verdana"/>
          <w:color w:val="000000" w:themeColor="text1"/>
        </w:rPr>
        <w:t xml:space="preserve"> In the transition to university, in particular, the academic and social environments become key in supporting students’ ‘confidence and competence’, with academic and non-academic staff playing a significant role in helping students build a sense of ‘connectedness’ to the university.</w:t>
      </w:r>
      <w:r w:rsidRPr="00A71472">
        <w:rPr>
          <w:rFonts w:ascii="Verdana" w:hAnsi="Verdana"/>
          <w:color w:val="000000" w:themeColor="text1"/>
          <w:vertAlign w:val="superscript"/>
        </w:rPr>
        <w:footnoteReference w:id="85"/>
      </w:r>
      <w:r w:rsidRPr="00A71472">
        <w:rPr>
          <w:rFonts w:ascii="Verdana" w:hAnsi="Verdana"/>
          <w:color w:val="000000" w:themeColor="text1"/>
        </w:rPr>
        <w:t xml:space="preserve"> The importance of engaging students early (at pre-entry and induction levels) and throughout the student life cycle has also been emphasised as a key responsibility for HE institutions, with activities designed to help students develop social relationships with their peers and through the creation of activities with an overt academic purpose that will facilitate the interaction and understanding between staff and students.</w:t>
      </w:r>
      <w:r w:rsidRPr="00A71472">
        <w:rPr>
          <w:rFonts w:ascii="Verdana" w:hAnsi="Verdana"/>
          <w:color w:val="000000" w:themeColor="text1"/>
          <w:vertAlign w:val="superscript"/>
        </w:rPr>
        <w:footnoteReference w:id="86"/>
      </w:r>
    </w:p>
    <w:p w14:paraId="4DB73E46" w14:textId="77777777" w:rsidR="00A71472" w:rsidRPr="00A71472" w:rsidRDefault="00A71472" w:rsidP="00A71472">
      <w:pPr>
        <w:spacing w:line="276" w:lineRule="auto"/>
        <w:rPr>
          <w:rFonts w:ascii="Verdana" w:hAnsi="Verdana"/>
          <w:color w:val="000000" w:themeColor="text1"/>
        </w:rPr>
      </w:pPr>
    </w:p>
    <w:p w14:paraId="00FD6017" w14:textId="128DE4C0" w:rsidR="00A71472" w:rsidRPr="001927CF" w:rsidRDefault="00A71472" w:rsidP="00C07A4A">
      <w:pPr>
        <w:spacing w:line="276" w:lineRule="auto"/>
        <w:rPr>
          <w:rFonts w:ascii="Verdana" w:hAnsi="Verdana"/>
          <w:color w:val="000000" w:themeColor="text1"/>
        </w:rPr>
      </w:pPr>
      <w:r w:rsidRPr="00A71472">
        <w:rPr>
          <w:rFonts w:ascii="Verdana" w:hAnsi="Verdana"/>
          <w:color w:val="000000" w:themeColor="text1"/>
        </w:rPr>
        <w:t>The Covid</w:t>
      </w:r>
      <w:r w:rsidR="00ED3AC2">
        <w:rPr>
          <w:rFonts w:ascii="Verdana" w:hAnsi="Verdana"/>
          <w:color w:val="000000" w:themeColor="text1"/>
        </w:rPr>
        <w:t>-</w:t>
      </w:r>
      <w:r w:rsidRPr="00A71472">
        <w:rPr>
          <w:rFonts w:ascii="Verdana" w:hAnsi="Verdana"/>
          <w:color w:val="000000" w:themeColor="text1"/>
        </w:rPr>
        <w:t xml:space="preserve">19 pandemic altered the way in which community building had been conceived and constructed as higher education switched from in person to online synchronous and asynchronous learning. In the </w:t>
      </w:r>
      <w:hyperlink r:id="rId23" w:anchor="happens-to-community" w:history="1">
        <w:r w:rsidRPr="00A71472">
          <w:rPr>
            <w:rStyle w:val="Hyperlink"/>
            <w:rFonts w:ascii="Verdana" w:hAnsi="Verdana"/>
          </w:rPr>
          <w:t>Pandemic Pedagogy Handbook</w:t>
        </w:r>
      </w:hyperlink>
      <w:r w:rsidRPr="00A71472">
        <w:rPr>
          <w:rFonts w:ascii="Verdana" w:hAnsi="Verdana"/>
          <w:color w:val="000000" w:themeColor="text1"/>
        </w:rPr>
        <w:t xml:space="preserve">, History UK highlighted challenges and opportunities for emerging online communities. Some of the documented experience of belonging and community building during the pandemic outlines clear communication, student support and the creation of online study groups helped students’ maintain engagement and a sense of belonging; students’ preference for synchronous learning and live lectures was </w:t>
      </w:r>
      <w:r w:rsidR="00ED3AC2">
        <w:rPr>
          <w:rFonts w:ascii="Verdana" w:hAnsi="Verdana"/>
          <w:color w:val="000000" w:themeColor="text1"/>
        </w:rPr>
        <w:t>noted</w:t>
      </w:r>
      <w:r w:rsidRPr="00A71472">
        <w:rPr>
          <w:rFonts w:ascii="Verdana" w:hAnsi="Verdana"/>
          <w:color w:val="000000" w:themeColor="text1"/>
        </w:rPr>
        <w:t>, although in the post pandemic education environment, students have started appreciating the benefits of recorded lectures that they can watch at their own pace.</w:t>
      </w:r>
      <w:r w:rsidRPr="00A71472">
        <w:rPr>
          <w:rFonts w:ascii="Verdana" w:hAnsi="Verdana"/>
          <w:color w:val="000000" w:themeColor="text1"/>
          <w:vertAlign w:val="superscript"/>
        </w:rPr>
        <w:footnoteReference w:id="87"/>
      </w:r>
      <w:r w:rsidRPr="00A71472">
        <w:rPr>
          <w:rFonts w:ascii="Verdana" w:hAnsi="Verdana"/>
          <w:color w:val="000000" w:themeColor="text1"/>
        </w:rPr>
        <w:t xml:space="preserve"> Research on students’ sense of belonging during the pandemic found that it was mostly affected by the individuals’ experience of the transition from in person to online learning. </w:t>
      </w:r>
      <w:r w:rsidRPr="00A71472">
        <w:rPr>
          <w:rFonts w:ascii="Verdana" w:hAnsi="Verdana"/>
          <w:color w:val="000000" w:themeColor="text1"/>
        </w:rPr>
        <w:lastRenderedPageBreak/>
        <w:t>In some cases, that transition resulted in the loss of connection between students and educators and students and their peers, which created a barrier to the development of a sense of belonging.  However, when educators made a concerted effort to foster a sense of belonging in the learning environment, students reported greater satisfaction.</w:t>
      </w:r>
      <w:r w:rsidRPr="00A71472">
        <w:rPr>
          <w:rFonts w:ascii="Verdana" w:hAnsi="Verdana"/>
          <w:color w:val="000000" w:themeColor="text1"/>
          <w:vertAlign w:val="superscript"/>
        </w:rPr>
        <w:footnoteReference w:id="88"/>
      </w:r>
    </w:p>
    <w:p w14:paraId="013B71F0" w14:textId="77777777" w:rsidR="00C07A4A" w:rsidRPr="001927CF" w:rsidRDefault="00C07A4A" w:rsidP="00C07A4A">
      <w:pPr>
        <w:spacing w:line="276" w:lineRule="auto"/>
        <w:ind w:left="773"/>
        <w:rPr>
          <w:rFonts w:ascii="Verdana" w:hAnsi="Verdana"/>
          <w:color w:val="000000" w:themeColor="text1"/>
        </w:rPr>
      </w:pPr>
    </w:p>
    <w:p w14:paraId="608EC0BA" w14:textId="430D1AD1" w:rsidR="00C07A4A" w:rsidRPr="001D7D16" w:rsidRDefault="00974947" w:rsidP="00C07A4A">
      <w:pPr>
        <w:spacing w:line="276" w:lineRule="auto"/>
        <w:rPr>
          <w:rFonts w:ascii="Verdana" w:hAnsi="Verdana"/>
          <w:color w:val="FF0000"/>
        </w:rPr>
      </w:pPr>
      <w:r>
        <w:rPr>
          <w:rFonts w:ascii="Verdana" w:hAnsi="Verdana"/>
          <w:color w:val="000000" w:themeColor="text1"/>
        </w:rPr>
        <w:t>For focus group participants, c</w:t>
      </w:r>
      <w:r w:rsidR="00C07A4A" w:rsidRPr="001927CF">
        <w:rPr>
          <w:rFonts w:ascii="Verdana" w:hAnsi="Verdana"/>
          <w:color w:val="000000" w:themeColor="text1"/>
        </w:rPr>
        <w:t xml:space="preserve">ommunity building and fostering a sense of belonging appeared relative to the size of department, with </w:t>
      </w:r>
      <w:r w:rsidR="00C07A4A">
        <w:rPr>
          <w:rFonts w:ascii="Verdana" w:hAnsi="Verdana"/>
          <w:color w:val="000000" w:themeColor="text1"/>
        </w:rPr>
        <w:t xml:space="preserve">some participants perceiving this </w:t>
      </w:r>
      <w:r w:rsidR="00C07A4A" w:rsidRPr="001927CF">
        <w:rPr>
          <w:rFonts w:ascii="Verdana" w:hAnsi="Verdana"/>
          <w:color w:val="000000" w:themeColor="text1"/>
        </w:rPr>
        <w:t xml:space="preserve">to be a bigger challenge in larger departments than in their smaller counterparts. This led to a disconnect between </w:t>
      </w:r>
      <w:r w:rsidR="00C07A4A">
        <w:rPr>
          <w:rFonts w:ascii="Verdana" w:hAnsi="Verdana"/>
          <w:color w:val="000000" w:themeColor="text1"/>
        </w:rPr>
        <w:t xml:space="preserve">the provision of </w:t>
      </w:r>
      <w:r w:rsidR="00C07A4A" w:rsidRPr="001927CF">
        <w:rPr>
          <w:rFonts w:ascii="Verdana" w:hAnsi="Verdana"/>
          <w:color w:val="000000" w:themeColor="text1"/>
        </w:rPr>
        <w:t xml:space="preserve">student engagement initiatives, even at departmental level, and engagement from students with them, without clear indications as to why this was the case. Additional efforts to build and develop community during the </w:t>
      </w:r>
      <w:r w:rsidR="00EF7128">
        <w:rPr>
          <w:rFonts w:ascii="Verdana" w:hAnsi="Verdana"/>
          <w:color w:val="000000" w:themeColor="text1"/>
        </w:rPr>
        <w:t>p</w:t>
      </w:r>
      <w:r w:rsidR="00C07A4A" w:rsidRPr="001927CF">
        <w:rPr>
          <w:rFonts w:ascii="Verdana" w:hAnsi="Verdana"/>
          <w:color w:val="000000" w:themeColor="text1"/>
        </w:rPr>
        <w:t>andemic were noted, again with varying success</w:t>
      </w:r>
      <w:r w:rsidR="00C07A4A">
        <w:rPr>
          <w:rFonts w:ascii="Verdana" w:hAnsi="Verdana"/>
          <w:color w:val="000000" w:themeColor="text1"/>
        </w:rPr>
        <w:t>es</w:t>
      </w:r>
      <w:r w:rsidR="00C07A4A" w:rsidRPr="001927CF">
        <w:rPr>
          <w:rFonts w:ascii="Verdana" w:hAnsi="Verdana"/>
          <w:color w:val="000000" w:themeColor="text1"/>
        </w:rPr>
        <w:t xml:space="preserve">. The loss of informal spaces for community building during the pandemic, such as waiting to go into a lecture hall or sitting together in the library, were noted as having lingering consequences for students. The use of social media to create support networks was </w:t>
      </w:r>
      <w:r w:rsidR="00C07A4A">
        <w:rPr>
          <w:rFonts w:ascii="Verdana" w:hAnsi="Verdana"/>
          <w:color w:val="000000" w:themeColor="text1"/>
        </w:rPr>
        <w:t>remarked,</w:t>
      </w:r>
      <w:r w:rsidR="00C07A4A" w:rsidRPr="001927CF">
        <w:rPr>
          <w:rFonts w:ascii="Verdana" w:hAnsi="Verdana"/>
          <w:color w:val="000000" w:themeColor="text1"/>
        </w:rPr>
        <w:t xml:space="preserve"> but some participants felt this had given rise to misinformation and thus additional stress</w:t>
      </w:r>
      <w:r w:rsidR="00C07A4A">
        <w:rPr>
          <w:rFonts w:ascii="Verdana" w:hAnsi="Verdana"/>
          <w:color w:val="000000" w:themeColor="text1"/>
        </w:rPr>
        <w:t>/</w:t>
      </w:r>
      <w:r w:rsidR="00C07A4A" w:rsidRPr="001927CF">
        <w:rPr>
          <w:rFonts w:ascii="Verdana" w:hAnsi="Verdana"/>
          <w:color w:val="000000" w:themeColor="text1"/>
        </w:rPr>
        <w:t xml:space="preserve">confusion. Additional demands on students’ time, such as working or caring, could also mean students were less able to participate </w:t>
      </w:r>
      <w:r w:rsidR="00C07A4A">
        <w:rPr>
          <w:rFonts w:ascii="Verdana" w:hAnsi="Verdana"/>
          <w:color w:val="000000" w:themeColor="text1"/>
        </w:rPr>
        <w:t xml:space="preserve">in such activities </w:t>
      </w:r>
      <w:r w:rsidR="00C07A4A" w:rsidRPr="001927CF">
        <w:rPr>
          <w:rFonts w:ascii="Verdana" w:hAnsi="Verdana"/>
          <w:color w:val="000000" w:themeColor="text1"/>
        </w:rPr>
        <w:t xml:space="preserve">or feel like they ‘belonged’ to the student community. </w:t>
      </w:r>
      <w:r w:rsidR="00C07A4A" w:rsidRPr="001D7D16">
        <w:rPr>
          <w:rFonts w:ascii="Verdana" w:hAnsi="Verdana"/>
          <w:color w:val="000000" w:themeColor="text1"/>
        </w:rPr>
        <w:t xml:space="preserve">The role of induction and personal tutoring </w:t>
      </w:r>
      <w:r w:rsidR="00C07A4A">
        <w:rPr>
          <w:rFonts w:ascii="Verdana" w:hAnsi="Verdana"/>
          <w:color w:val="000000" w:themeColor="text1"/>
        </w:rPr>
        <w:t xml:space="preserve">in mitigating against such isolation </w:t>
      </w:r>
      <w:r w:rsidR="00C07A4A" w:rsidRPr="001D7D16">
        <w:rPr>
          <w:rFonts w:ascii="Verdana" w:hAnsi="Verdana"/>
          <w:color w:val="000000" w:themeColor="text1"/>
        </w:rPr>
        <w:t>was noted in this context.</w:t>
      </w:r>
      <w:r w:rsidR="00C07A4A">
        <w:rPr>
          <w:rFonts w:ascii="Verdana" w:hAnsi="Verdana"/>
          <w:color w:val="FF0000"/>
        </w:rPr>
        <w:t xml:space="preserve"> </w:t>
      </w:r>
      <w:r w:rsidR="00C07A4A" w:rsidRPr="001927CF">
        <w:rPr>
          <w:rFonts w:ascii="Verdana" w:hAnsi="Verdana"/>
          <w:color w:val="000000" w:themeColor="text1"/>
        </w:rPr>
        <w:t xml:space="preserve">Further discussions centred on the intersections between </w:t>
      </w:r>
      <w:r w:rsidR="00C07A4A">
        <w:rPr>
          <w:rFonts w:ascii="Verdana" w:hAnsi="Verdana"/>
          <w:color w:val="000000" w:themeColor="text1"/>
        </w:rPr>
        <w:t>‘</w:t>
      </w:r>
      <w:r w:rsidR="00C07A4A" w:rsidRPr="001927CF">
        <w:rPr>
          <w:rFonts w:ascii="Verdana" w:hAnsi="Verdana"/>
          <w:color w:val="000000" w:themeColor="text1"/>
        </w:rPr>
        <w:t>student communit</w:t>
      </w:r>
      <w:r w:rsidR="00C07A4A">
        <w:rPr>
          <w:rFonts w:ascii="Verdana" w:hAnsi="Verdana"/>
          <w:color w:val="000000" w:themeColor="text1"/>
        </w:rPr>
        <w:t>y’</w:t>
      </w:r>
      <w:r w:rsidR="00C07A4A" w:rsidRPr="001927CF">
        <w:rPr>
          <w:rFonts w:ascii="Verdana" w:hAnsi="Verdana"/>
          <w:color w:val="000000" w:themeColor="text1"/>
        </w:rPr>
        <w:t xml:space="preserve"> and a distinct </w:t>
      </w:r>
      <w:r w:rsidR="00C07A4A">
        <w:rPr>
          <w:rFonts w:ascii="Verdana" w:hAnsi="Verdana"/>
          <w:color w:val="000000" w:themeColor="text1"/>
        </w:rPr>
        <w:t>‘</w:t>
      </w:r>
      <w:r w:rsidR="00C07A4A" w:rsidRPr="001927CF">
        <w:rPr>
          <w:rFonts w:ascii="Verdana" w:hAnsi="Verdana"/>
          <w:color w:val="000000" w:themeColor="text1"/>
        </w:rPr>
        <w:t>history community</w:t>
      </w:r>
      <w:r w:rsidR="00C07A4A">
        <w:rPr>
          <w:rFonts w:ascii="Verdana" w:hAnsi="Verdana"/>
          <w:color w:val="000000" w:themeColor="text1"/>
        </w:rPr>
        <w:t>’</w:t>
      </w:r>
      <w:r w:rsidR="00C07A4A" w:rsidRPr="001927CF">
        <w:rPr>
          <w:rFonts w:ascii="Verdana" w:hAnsi="Verdana"/>
          <w:color w:val="000000" w:themeColor="text1"/>
        </w:rPr>
        <w:t xml:space="preserve"> that brought staff and students together. Wider research suggests that less than half of students feel a sense of community with others on their </w:t>
      </w:r>
      <w:r w:rsidR="00C07A4A">
        <w:rPr>
          <w:rFonts w:ascii="Verdana" w:hAnsi="Verdana"/>
          <w:color w:val="000000" w:themeColor="text1"/>
        </w:rPr>
        <w:t>programme</w:t>
      </w:r>
      <w:r w:rsidR="00C07A4A" w:rsidRPr="001927CF">
        <w:rPr>
          <w:rFonts w:ascii="Verdana" w:hAnsi="Verdana"/>
          <w:color w:val="000000" w:themeColor="text1"/>
        </w:rPr>
        <w:t xml:space="preserve">, with similar proportions perceiving there to be either </w:t>
      </w:r>
      <w:r w:rsidR="00C07A4A">
        <w:rPr>
          <w:rFonts w:ascii="Verdana" w:hAnsi="Verdana"/>
          <w:color w:val="000000" w:themeColor="text1"/>
        </w:rPr>
        <w:t>in</w:t>
      </w:r>
      <w:r w:rsidR="00C07A4A" w:rsidRPr="001927CF">
        <w:rPr>
          <w:rFonts w:ascii="Verdana" w:hAnsi="Verdana"/>
          <w:color w:val="000000" w:themeColor="text1"/>
        </w:rPr>
        <w:t xml:space="preserve">adequate opportunities to interact with others on their course or </w:t>
      </w:r>
      <w:r w:rsidR="00C07A4A">
        <w:rPr>
          <w:rFonts w:ascii="Verdana" w:hAnsi="Verdana"/>
          <w:color w:val="000000" w:themeColor="text1"/>
        </w:rPr>
        <w:t xml:space="preserve">ineffective means to access </w:t>
      </w:r>
      <w:r w:rsidR="00C07A4A" w:rsidRPr="001927CF">
        <w:rPr>
          <w:rFonts w:ascii="Verdana" w:hAnsi="Verdana"/>
          <w:color w:val="000000" w:themeColor="text1"/>
        </w:rPr>
        <w:t xml:space="preserve">a support network on their </w:t>
      </w:r>
      <w:r w:rsidR="00C07A4A">
        <w:rPr>
          <w:rFonts w:ascii="Verdana" w:hAnsi="Verdana"/>
          <w:color w:val="000000" w:themeColor="text1"/>
        </w:rPr>
        <w:t>programme</w:t>
      </w:r>
      <w:r w:rsidR="00C07A4A" w:rsidRPr="001927CF">
        <w:rPr>
          <w:rFonts w:ascii="Verdana" w:hAnsi="Verdana"/>
          <w:color w:val="000000" w:themeColor="text1"/>
        </w:rPr>
        <w:t xml:space="preserve">. </w:t>
      </w:r>
      <w:r w:rsidR="00C07A4A">
        <w:rPr>
          <w:rFonts w:ascii="Verdana" w:hAnsi="Verdana"/>
          <w:color w:val="000000" w:themeColor="text1"/>
        </w:rPr>
        <w:t>It</w:t>
      </w:r>
      <w:r w:rsidR="00C07A4A" w:rsidRPr="001927CF">
        <w:rPr>
          <w:rFonts w:ascii="Verdana" w:hAnsi="Verdana"/>
          <w:color w:val="000000" w:themeColor="text1"/>
        </w:rPr>
        <w:t xml:space="preserve"> also noted that students wanted to be able to get to know people on their </w:t>
      </w:r>
      <w:r w:rsidR="00C07A4A">
        <w:rPr>
          <w:rFonts w:ascii="Verdana" w:hAnsi="Verdana"/>
          <w:color w:val="000000" w:themeColor="text1"/>
        </w:rPr>
        <w:t>programme</w:t>
      </w:r>
      <w:r w:rsidR="00C07A4A" w:rsidRPr="001927CF">
        <w:rPr>
          <w:rFonts w:ascii="Verdana" w:hAnsi="Verdana"/>
          <w:color w:val="000000" w:themeColor="text1"/>
        </w:rPr>
        <w:t xml:space="preserve"> better and ideally to develop closer or more friendships with </w:t>
      </w:r>
      <w:r w:rsidR="00C07A4A">
        <w:rPr>
          <w:rFonts w:ascii="Verdana" w:hAnsi="Verdana"/>
          <w:color w:val="000000" w:themeColor="text1"/>
        </w:rPr>
        <w:t xml:space="preserve">their </w:t>
      </w:r>
      <w:r w:rsidR="00C07A4A" w:rsidRPr="001927CF">
        <w:rPr>
          <w:rFonts w:ascii="Verdana" w:hAnsi="Verdana"/>
          <w:color w:val="000000" w:themeColor="text1"/>
        </w:rPr>
        <w:t>peers</w:t>
      </w:r>
      <w:r w:rsidR="00C07A4A">
        <w:rPr>
          <w:rFonts w:ascii="Verdana" w:hAnsi="Verdana"/>
          <w:color w:val="000000" w:themeColor="text1"/>
        </w:rPr>
        <w:t xml:space="preserve"> also studying history</w:t>
      </w:r>
      <w:r w:rsidR="00C07A4A" w:rsidRPr="001927CF">
        <w:rPr>
          <w:rFonts w:ascii="Verdana" w:hAnsi="Verdana"/>
          <w:color w:val="000000" w:themeColor="text1"/>
        </w:rPr>
        <w:t>.</w:t>
      </w:r>
      <w:r w:rsidR="00C07A4A" w:rsidRPr="001927CF">
        <w:rPr>
          <w:rStyle w:val="FootnoteReference"/>
          <w:rFonts w:ascii="Verdana" w:hAnsi="Verdana"/>
          <w:color w:val="000000" w:themeColor="text1"/>
        </w:rPr>
        <w:footnoteReference w:id="89"/>
      </w:r>
      <w:r w:rsidR="00C07A4A">
        <w:rPr>
          <w:rFonts w:ascii="Verdana" w:hAnsi="Verdana"/>
          <w:color w:val="000000" w:themeColor="text1"/>
        </w:rPr>
        <w:t xml:space="preserve"> Participants were keen to explore ways </w:t>
      </w:r>
      <w:r w:rsidR="00C07A4A">
        <w:rPr>
          <w:rFonts w:ascii="Verdana" w:hAnsi="Verdana"/>
          <w:color w:val="000000" w:themeColor="text1"/>
        </w:rPr>
        <w:lastRenderedPageBreak/>
        <w:t xml:space="preserve">in which this could be achieved in all departments/units regardless of size. They were also keen to note that community building and a sense of belonging were linked to identity and representation and could also be fostered within the curriculum. </w:t>
      </w:r>
      <w:r w:rsidR="00C07A4A" w:rsidRPr="001927CF">
        <w:rPr>
          <w:rFonts w:ascii="Verdana" w:hAnsi="Verdana"/>
          <w:color w:val="000000" w:themeColor="text1"/>
        </w:rPr>
        <w:t xml:space="preserve">The importance of </w:t>
      </w:r>
      <w:r w:rsidR="00C07A4A">
        <w:rPr>
          <w:rFonts w:ascii="Verdana" w:hAnsi="Verdana"/>
          <w:color w:val="000000" w:themeColor="text1"/>
        </w:rPr>
        <w:t xml:space="preserve">students </w:t>
      </w:r>
      <w:r w:rsidR="00C07A4A" w:rsidRPr="001927CF">
        <w:rPr>
          <w:rFonts w:ascii="Verdana" w:hAnsi="Verdana"/>
          <w:color w:val="000000" w:themeColor="text1"/>
        </w:rPr>
        <w:t xml:space="preserve">having their ‘voices’ heard was </w:t>
      </w:r>
      <w:r w:rsidR="00C07A4A">
        <w:rPr>
          <w:rFonts w:ascii="Verdana" w:hAnsi="Verdana"/>
          <w:color w:val="000000" w:themeColor="text1"/>
        </w:rPr>
        <w:t>emphasised</w:t>
      </w:r>
      <w:r w:rsidR="00C07A4A" w:rsidRPr="001927CF">
        <w:rPr>
          <w:rFonts w:ascii="Verdana" w:hAnsi="Verdana"/>
          <w:color w:val="000000" w:themeColor="text1"/>
        </w:rPr>
        <w:t xml:space="preserve">, not only via formal committees and forums but also in the curriculum and </w:t>
      </w:r>
      <w:r w:rsidR="00C07A4A">
        <w:rPr>
          <w:rFonts w:ascii="Verdana" w:hAnsi="Verdana"/>
          <w:color w:val="000000" w:themeColor="text1"/>
        </w:rPr>
        <w:t>assessed</w:t>
      </w:r>
      <w:r w:rsidR="00C07A4A" w:rsidRPr="001927CF">
        <w:rPr>
          <w:rFonts w:ascii="Verdana" w:hAnsi="Verdana"/>
          <w:color w:val="000000" w:themeColor="text1"/>
        </w:rPr>
        <w:t xml:space="preserve"> work.</w:t>
      </w:r>
    </w:p>
    <w:p w14:paraId="5F8496C8" w14:textId="77777777" w:rsidR="00C07A4A" w:rsidRDefault="00C07A4A" w:rsidP="00C07A4A">
      <w:pPr>
        <w:spacing w:line="276" w:lineRule="auto"/>
        <w:rPr>
          <w:rFonts w:ascii="Verdana" w:hAnsi="Verdana"/>
        </w:rPr>
      </w:pPr>
    </w:p>
    <w:p w14:paraId="09AA2ECA" w14:textId="77777777" w:rsidR="00AF1985" w:rsidRPr="001927CF" w:rsidRDefault="00AF1985" w:rsidP="001927CF">
      <w:pPr>
        <w:spacing w:line="276" w:lineRule="auto"/>
        <w:rPr>
          <w:rFonts w:ascii="Verdana" w:hAnsi="Verdana"/>
          <w:color w:val="FF0000"/>
        </w:rPr>
      </w:pPr>
    </w:p>
    <w:p w14:paraId="1BD28F47" w14:textId="5898CC5A" w:rsidR="00F73211" w:rsidRPr="006A0C87" w:rsidRDefault="006A0C87" w:rsidP="00061DE5">
      <w:pPr>
        <w:pStyle w:val="Heading1"/>
      </w:pPr>
      <w:bookmarkStart w:id="0" w:name="OLE_LINK1"/>
      <w:bookmarkStart w:id="1" w:name="OLE_LINK2"/>
      <w:r w:rsidRPr="006A0C87">
        <w:t xml:space="preserve">History-Specific Opportunities </w:t>
      </w:r>
    </w:p>
    <w:bookmarkEnd w:id="0"/>
    <w:bookmarkEnd w:id="1"/>
    <w:p w14:paraId="1FE0B199" w14:textId="1EED5CB5" w:rsidR="00136902" w:rsidRDefault="00114B21" w:rsidP="001927CF">
      <w:pPr>
        <w:spacing w:line="276" w:lineRule="auto"/>
        <w:rPr>
          <w:rFonts w:ascii="Verdana" w:hAnsi="Verdana"/>
          <w:color w:val="000000" w:themeColor="text1"/>
        </w:rPr>
      </w:pPr>
      <w:r w:rsidRPr="001927CF">
        <w:rPr>
          <w:rFonts w:ascii="Verdana" w:hAnsi="Verdana"/>
          <w:color w:val="000000" w:themeColor="text1"/>
        </w:rPr>
        <w:t xml:space="preserve">History as a discipline is well placed </w:t>
      </w:r>
      <w:r w:rsidR="00D33EC2" w:rsidRPr="001927CF">
        <w:rPr>
          <w:rFonts w:ascii="Verdana" w:hAnsi="Verdana"/>
          <w:color w:val="000000" w:themeColor="text1"/>
        </w:rPr>
        <w:t>to actively engage with EDI</w:t>
      </w:r>
      <w:r w:rsidR="00EC3230" w:rsidRPr="001927CF">
        <w:rPr>
          <w:rFonts w:ascii="Verdana" w:hAnsi="Verdana"/>
          <w:color w:val="000000" w:themeColor="text1"/>
        </w:rPr>
        <w:t xml:space="preserve">. </w:t>
      </w:r>
      <w:r w:rsidR="00FC17F3">
        <w:rPr>
          <w:rFonts w:ascii="Verdana" w:hAnsi="Verdana"/>
          <w:color w:val="000000" w:themeColor="text1"/>
        </w:rPr>
        <w:t xml:space="preserve">The </w:t>
      </w:r>
      <w:r w:rsidR="00FC17F3" w:rsidRPr="00916054">
        <w:rPr>
          <w:rFonts w:ascii="Verdana" w:hAnsi="Verdana"/>
          <w:color w:val="000000" w:themeColor="text1"/>
        </w:rPr>
        <w:t xml:space="preserve">revised </w:t>
      </w:r>
      <w:hyperlink r:id="rId24" w:history="1">
        <w:r w:rsidR="00FC17F3" w:rsidRPr="00916054">
          <w:rPr>
            <w:rStyle w:val="Hyperlink"/>
            <w:rFonts w:ascii="Verdana" w:hAnsi="Verdana"/>
          </w:rPr>
          <w:t>QAA Subject Benchmark Statement for History (2022)</w:t>
        </w:r>
      </w:hyperlink>
      <w:r w:rsidR="00FC17F3">
        <w:rPr>
          <w:rFonts w:ascii="Verdana" w:hAnsi="Verdana"/>
          <w:color w:val="000000" w:themeColor="text1"/>
        </w:rPr>
        <w:t xml:space="preserve"> posits that th</w:t>
      </w:r>
      <w:r w:rsidR="00FC17F3" w:rsidRPr="0B4088E5">
        <w:rPr>
          <w:rFonts w:ascii="Verdana" w:hAnsi="Verdana"/>
          <w:color w:val="000000" w:themeColor="text1"/>
        </w:rPr>
        <w:t>e study of history can be used to counter the under-representation of marginalised groups and contribute to ‘the quest to tackle both new and historical global challenges’.</w:t>
      </w:r>
      <w:r w:rsidR="00FC17F3">
        <w:rPr>
          <w:rFonts w:ascii="Verdana" w:hAnsi="Verdana"/>
          <w:color w:val="000000" w:themeColor="text1"/>
        </w:rPr>
        <w:t xml:space="preserve"> This was a sentiment shared by focus group participants. Many noted that b</w:t>
      </w:r>
      <w:r w:rsidR="00EC3230" w:rsidRPr="001927CF">
        <w:rPr>
          <w:rFonts w:ascii="Verdana" w:hAnsi="Verdana"/>
          <w:color w:val="000000" w:themeColor="text1"/>
        </w:rPr>
        <w:t xml:space="preserve">ig questions about what </w:t>
      </w:r>
      <w:r w:rsidR="00AE0A72" w:rsidRPr="001927CF">
        <w:rPr>
          <w:rFonts w:ascii="Verdana" w:hAnsi="Verdana"/>
          <w:color w:val="000000" w:themeColor="text1"/>
        </w:rPr>
        <w:t xml:space="preserve">the study of </w:t>
      </w:r>
      <w:r w:rsidR="00EC3230" w:rsidRPr="001927CF">
        <w:rPr>
          <w:rFonts w:ascii="Verdana" w:hAnsi="Verdana"/>
          <w:color w:val="000000" w:themeColor="text1"/>
        </w:rPr>
        <w:t xml:space="preserve">history is </w:t>
      </w:r>
      <w:r w:rsidR="00AE0A72" w:rsidRPr="001927CF">
        <w:rPr>
          <w:rFonts w:ascii="Verdana" w:hAnsi="Verdana"/>
          <w:color w:val="000000" w:themeColor="text1"/>
        </w:rPr>
        <w:t xml:space="preserve">(or could be) </w:t>
      </w:r>
      <w:r w:rsidR="00EC3230" w:rsidRPr="001927CF">
        <w:rPr>
          <w:rFonts w:ascii="Verdana" w:hAnsi="Verdana"/>
          <w:color w:val="000000" w:themeColor="text1"/>
        </w:rPr>
        <w:t xml:space="preserve">are often discussed as part of introductory history modules. </w:t>
      </w:r>
      <w:r w:rsidR="00FC17F3">
        <w:rPr>
          <w:rFonts w:ascii="Verdana" w:hAnsi="Verdana"/>
          <w:color w:val="000000" w:themeColor="text1"/>
        </w:rPr>
        <w:t>S</w:t>
      </w:r>
      <w:r w:rsidR="00EC3230" w:rsidRPr="001927CF">
        <w:rPr>
          <w:rFonts w:ascii="Verdana" w:hAnsi="Verdana"/>
          <w:color w:val="000000" w:themeColor="text1"/>
        </w:rPr>
        <w:t>tudents</w:t>
      </w:r>
      <w:r w:rsidR="00FC17F3">
        <w:rPr>
          <w:rFonts w:ascii="Verdana" w:hAnsi="Verdana"/>
          <w:color w:val="000000" w:themeColor="text1"/>
        </w:rPr>
        <w:t xml:space="preserve"> are encouraged to</w:t>
      </w:r>
      <w:r w:rsidR="00EC3230" w:rsidRPr="001927CF">
        <w:rPr>
          <w:rFonts w:ascii="Verdana" w:hAnsi="Verdana"/>
          <w:color w:val="000000" w:themeColor="text1"/>
        </w:rPr>
        <w:t xml:space="preserve"> consider </w:t>
      </w:r>
      <w:r w:rsidR="00FC17F3">
        <w:rPr>
          <w:rFonts w:ascii="Verdana" w:hAnsi="Verdana"/>
          <w:color w:val="000000" w:themeColor="text1"/>
        </w:rPr>
        <w:t xml:space="preserve">who or </w:t>
      </w:r>
      <w:r w:rsidR="00EC3230" w:rsidRPr="001927CF">
        <w:rPr>
          <w:rFonts w:ascii="Verdana" w:hAnsi="Verdana"/>
          <w:color w:val="000000" w:themeColor="text1"/>
        </w:rPr>
        <w:t xml:space="preserve">what is included and excluded from the study of history (in different contexts, including their own curriculum), the politicisation of history, the value of history, who writes history and how is history constructed. </w:t>
      </w:r>
      <w:r w:rsidR="00AE0A72" w:rsidRPr="001927CF">
        <w:rPr>
          <w:rFonts w:ascii="Verdana" w:hAnsi="Verdana"/>
          <w:color w:val="000000" w:themeColor="text1"/>
        </w:rPr>
        <w:t>The content of the curriculum, especially core modules, should reflect diverse cohorts of students.</w:t>
      </w:r>
    </w:p>
    <w:p w14:paraId="65D9DB9B" w14:textId="77777777" w:rsidR="00136902" w:rsidRDefault="00136902" w:rsidP="001927CF">
      <w:pPr>
        <w:spacing w:line="276" w:lineRule="auto"/>
        <w:rPr>
          <w:rFonts w:ascii="Verdana" w:hAnsi="Verdana"/>
          <w:color w:val="000000" w:themeColor="text1"/>
        </w:rPr>
      </w:pPr>
    </w:p>
    <w:p w14:paraId="3E43AC30" w14:textId="1BACF609" w:rsidR="00D2748C" w:rsidRPr="001927CF" w:rsidRDefault="00AE0A72" w:rsidP="001927CF">
      <w:pPr>
        <w:spacing w:line="276" w:lineRule="auto"/>
        <w:rPr>
          <w:rFonts w:ascii="Verdana" w:hAnsi="Verdana"/>
          <w:color w:val="000000" w:themeColor="text1"/>
        </w:rPr>
      </w:pPr>
      <w:r w:rsidRPr="001927CF">
        <w:rPr>
          <w:rFonts w:ascii="Verdana" w:hAnsi="Verdana"/>
          <w:color w:val="000000" w:themeColor="text1"/>
        </w:rPr>
        <w:t xml:space="preserve">Beyond core modules, the study of history provides scope for students to shape their own curriculum. </w:t>
      </w:r>
      <w:r w:rsidR="00D2748C" w:rsidRPr="001927CF">
        <w:rPr>
          <w:rFonts w:ascii="Verdana" w:hAnsi="Verdana"/>
          <w:color w:val="000000" w:themeColor="text1"/>
        </w:rPr>
        <w:t>The role of specialist (often optional) modules was discussed, noting their importance not only because of their emphasis on research-led teaching and intellectual rigour but also in terms of creating opportunities where students can connect personal narratives and lived experiences with the curriculum.</w:t>
      </w:r>
      <w:r w:rsidR="008F6291">
        <w:rPr>
          <w:rFonts w:ascii="Verdana" w:hAnsi="Verdana"/>
          <w:color w:val="000000" w:themeColor="text1"/>
        </w:rPr>
        <w:t xml:space="preserve"> </w:t>
      </w:r>
      <w:r w:rsidR="00D2748C" w:rsidRPr="001927CF">
        <w:rPr>
          <w:rFonts w:ascii="Verdana" w:hAnsi="Verdana"/>
          <w:color w:val="000000" w:themeColor="text1"/>
        </w:rPr>
        <w:t xml:space="preserve">Participants explored examples of modules where lived experiences could come to the fore more, particularly where the content was focused on gender and sexuality, race and ethnicity, or disability and health. The challenge of course is that not all students can opt for these modules, or indeed have the opportunity to do so, or that they can become self-selecting cohorts who want to address these aspects of history rather than the wider student cohort. Thus, participants agreed that in addition to specialist modules, there needs to be ways to embed EDI throughout the </w:t>
      </w:r>
      <w:r w:rsidR="00D2748C" w:rsidRPr="001927CF">
        <w:rPr>
          <w:rFonts w:ascii="Verdana" w:hAnsi="Verdana"/>
          <w:color w:val="000000" w:themeColor="text1"/>
        </w:rPr>
        <w:lastRenderedPageBreak/>
        <w:t xml:space="preserve">curriculum, so it is not perceived to be something only done on certain modules. This returns to the importance of programme level curriculum design. </w:t>
      </w:r>
    </w:p>
    <w:p w14:paraId="4888B0FD" w14:textId="77777777" w:rsidR="00D2748C" w:rsidRPr="001927CF" w:rsidRDefault="00D2748C" w:rsidP="001927CF">
      <w:pPr>
        <w:spacing w:line="276" w:lineRule="auto"/>
        <w:rPr>
          <w:rFonts w:ascii="Verdana" w:hAnsi="Verdana"/>
          <w:color w:val="000000" w:themeColor="text1"/>
        </w:rPr>
      </w:pPr>
    </w:p>
    <w:p w14:paraId="6F9E63E9" w14:textId="3E96CD36" w:rsidR="00AE0A72" w:rsidRPr="00282F4B" w:rsidRDefault="00D2748C" w:rsidP="001927CF">
      <w:pPr>
        <w:spacing w:line="276" w:lineRule="auto"/>
        <w:rPr>
          <w:rFonts w:ascii="Verdana" w:hAnsi="Verdana"/>
          <w:color w:val="000000" w:themeColor="text1"/>
        </w:rPr>
      </w:pPr>
      <w:r w:rsidRPr="001927CF">
        <w:rPr>
          <w:rFonts w:ascii="Verdana" w:hAnsi="Verdana"/>
          <w:color w:val="000000" w:themeColor="text1"/>
        </w:rPr>
        <w:t>A</w:t>
      </w:r>
      <w:r w:rsidR="00AE0A72" w:rsidRPr="001927CF">
        <w:rPr>
          <w:rFonts w:ascii="Verdana" w:hAnsi="Verdana"/>
          <w:color w:val="000000" w:themeColor="text1"/>
        </w:rPr>
        <w:t xml:space="preserve">s well as choice of optional modules (where offered), historical research projects often enable students to explore aspects of history that really matter to them. This is perhaps most enshrined in the dissertation or equivalent longer piece of research or historical practice in the final year of </w:t>
      </w:r>
      <w:r w:rsidRPr="001927CF">
        <w:rPr>
          <w:rFonts w:ascii="Verdana" w:hAnsi="Verdana"/>
          <w:color w:val="000000" w:themeColor="text1"/>
        </w:rPr>
        <w:t>study but</w:t>
      </w:r>
      <w:r w:rsidR="00213EF3" w:rsidRPr="001927CF">
        <w:rPr>
          <w:rFonts w:ascii="Verdana" w:hAnsi="Verdana"/>
          <w:color w:val="000000" w:themeColor="text1"/>
        </w:rPr>
        <w:t xml:space="preserve"> can also include</w:t>
      </w:r>
      <w:r w:rsidRPr="001927CF">
        <w:rPr>
          <w:rFonts w:ascii="Verdana" w:hAnsi="Verdana"/>
          <w:color w:val="000000" w:themeColor="text1"/>
        </w:rPr>
        <w:t xml:space="preserve"> shorter research projects throughout the degree. </w:t>
      </w:r>
      <w:r w:rsidR="00AE0A72" w:rsidRPr="001927CF">
        <w:rPr>
          <w:rFonts w:ascii="Verdana" w:hAnsi="Verdana"/>
          <w:color w:val="000000" w:themeColor="text1"/>
        </w:rPr>
        <w:t>Some participants felt there was scope for more personalised curricula, not only in terms of content but also more flexible pedagogies that encourage co-creation and empower students</w:t>
      </w:r>
      <w:r w:rsidR="00AE0A72" w:rsidRPr="00282F4B">
        <w:rPr>
          <w:rFonts w:ascii="Verdana" w:hAnsi="Verdana"/>
          <w:color w:val="000000" w:themeColor="text1"/>
        </w:rPr>
        <w:t>.</w:t>
      </w:r>
      <w:r w:rsidR="00483D5A" w:rsidRPr="00282F4B">
        <w:rPr>
          <w:rFonts w:ascii="Verdana" w:hAnsi="Verdana"/>
          <w:color w:val="000000" w:themeColor="text1"/>
        </w:rPr>
        <w:t xml:space="preserve"> Some universities also actively provide opportunities to showcase research and thus foreground history/histories that matter to students. </w:t>
      </w:r>
    </w:p>
    <w:p w14:paraId="32CE9136" w14:textId="77777777" w:rsidR="00D2748C" w:rsidRPr="001927CF" w:rsidRDefault="00D2748C" w:rsidP="001927CF">
      <w:pPr>
        <w:spacing w:line="276" w:lineRule="auto"/>
        <w:rPr>
          <w:rFonts w:ascii="Verdana" w:hAnsi="Verdana"/>
          <w:color w:val="FF0000"/>
        </w:rPr>
      </w:pPr>
    </w:p>
    <w:p w14:paraId="0B93EEB8" w14:textId="2E16BABE" w:rsidR="008817F0" w:rsidRDefault="00A17FCD" w:rsidP="008817F0">
      <w:pPr>
        <w:spacing w:line="276" w:lineRule="auto"/>
        <w:rPr>
          <w:rFonts w:ascii="Verdana" w:hAnsi="Verdana"/>
        </w:rPr>
      </w:pPr>
      <w:r w:rsidRPr="001927CF">
        <w:rPr>
          <w:rFonts w:ascii="Verdana" w:hAnsi="Verdana"/>
          <w:color w:val="000000" w:themeColor="text1"/>
        </w:rPr>
        <w:t>Historical source material provides opportunities to engage with a range of issues and debates. However, it can also present challenges. During lockdowns, participants noted there were challenges of presenting certain sources online</w:t>
      </w:r>
      <w:r w:rsidR="00830E7D">
        <w:rPr>
          <w:rFonts w:ascii="Verdana" w:hAnsi="Verdana"/>
          <w:color w:val="000000" w:themeColor="text1"/>
        </w:rPr>
        <w:t>,</w:t>
      </w:r>
      <w:r w:rsidRPr="001927CF">
        <w:rPr>
          <w:rFonts w:ascii="Verdana" w:hAnsi="Verdana"/>
          <w:color w:val="000000" w:themeColor="text1"/>
        </w:rPr>
        <w:t xml:space="preserve"> both because there were less opportunities for contextualisation and students</w:t>
      </w:r>
      <w:r w:rsidR="00830E7D">
        <w:rPr>
          <w:rFonts w:ascii="Verdana" w:hAnsi="Verdana"/>
          <w:color w:val="000000" w:themeColor="text1"/>
        </w:rPr>
        <w:t>’ domestic arrangements</w:t>
      </w:r>
      <w:r w:rsidRPr="001927CF">
        <w:rPr>
          <w:rFonts w:ascii="Verdana" w:hAnsi="Verdana"/>
          <w:color w:val="000000" w:themeColor="text1"/>
        </w:rPr>
        <w:t xml:space="preserve"> made it difficult if not impossible to engage with material relating to topics or issues </w:t>
      </w:r>
      <w:r w:rsidR="00830E7D">
        <w:rPr>
          <w:rFonts w:ascii="Verdana" w:hAnsi="Verdana"/>
          <w:color w:val="000000" w:themeColor="text1"/>
        </w:rPr>
        <w:t>that</w:t>
      </w:r>
      <w:r w:rsidRPr="001927CF">
        <w:rPr>
          <w:rFonts w:ascii="Verdana" w:hAnsi="Verdana"/>
          <w:color w:val="000000" w:themeColor="text1"/>
        </w:rPr>
        <w:t xml:space="preserve"> could be contentious or even dangerous in this setting. Moreover, it was difficult to interpret how students were responding to engaging with this material when cameras were switched off and conversations went silent</w:t>
      </w:r>
      <w:r w:rsidR="00830E7D">
        <w:rPr>
          <w:rFonts w:ascii="Verdana" w:hAnsi="Verdana"/>
          <w:color w:val="000000" w:themeColor="text1"/>
        </w:rPr>
        <w:t>, or</w:t>
      </w:r>
      <w:r w:rsidRPr="001927CF">
        <w:rPr>
          <w:rFonts w:ascii="Verdana" w:hAnsi="Verdana"/>
          <w:color w:val="000000" w:themeColor="text1"/>
        </w:rPr>
        <w:t xml:space="preserve"> when staff entered breakout rooms. Even in a physical classroom there could be d</w:t>
      </w:r>
      <w:proofErr w:type="spellStart"/>
      <w:r w:rsidR="008F0B3B" w:rsidRPr="001927CF">
        <w:rPr>
          <w:rFonts w:ascii="Verdana" w:hAnsi="Verdana"/>
          <w:color w:val="000000" w:themeColor="text1"/>
          <w:lang w:val="en-US"/>
        </w:rPr>
        <w:t>ifficulties</w:t>
      </w:r>
      <w:proofErr w:type="spellEnd"/>
      <w:r w:rsidR="008F0B3B" w:rsidRPr="001927CF">
        <w:rPr>
          <w:rFonts w:ascii="Verdana" w:hAnsi="Verdana"/>
          <w:color w:val="000000" w:themeColor="text1"/>
          <w:lang w:val="en-US"/>
        </w:rPr>
        <w:t xml:space="preserve"> regarding ‘sensitive’ or ‘uncomfortable’ source material in team</w:t>
      </w:r>
      <w:r w:rsidR="00830E7D">
        <w:rPr>
          <w:rFonts w:ascii="Verdana" w:hAnsi="Verdana"/>
          <w:color w:val="000000" w:themeColor="text1"/>
          <w:lang w:val="en-US"/>
        </w:rPr>
        <w:t>-</w:t>
      </w:r>
      <w:r w:rsidR="008F0B3B" w:rsidRPr="001927CF">
        <w:rPr>
          <w:rFonts w:ascii="Verdana" w:hAnsi="Verdana"/>
          <w:color w:val="000000" w:themeColor="text1"/>
          <w:lang w:val="en-US"/>
        </w:rPr>
        <w:t>taught modules</w:t>
      </w:r>
      <w:r w:rsidRPr="001927CF">
        <w:rPr>
          <w:rFonts w:ascii="Verdana" w:hAnsi="Verdana"/>
          <w:color w:val="000000" w:themeColor="text1"/>
          <w:lang w:val="en-US"/>
        </w:rPr>
        <w:t xml:space="preserve">. Participants noted that this was </w:t>
      </w:r>
      <w:r w:rsidR="008F0B3B" w:rsidRPr="001927CF">
        <w:rPr>
          <w:rFonts w:ascii="Verdana" w:hAnsi="Verdana"/>
          <w:color w:val="000000" w:themeColor="text1"/>
          <w:lang w:val="en-US"/>
        </w:rPr>
        <w:t xml:space="preserve">much easier </w:t>
      </w:r>
      <w:r w:rsidRPr="001927CF">
        <w:rPr>
          <w:rFonts w:ascii="Verdana" w:hAnsi="Verdana"/>
          <w:color w:val="000000" w:themeColor="text1"/>
          <w:lang w:val="en-US"/>
        </w:rPr>
        <w:t xml:space="preserve">to address </w:t>
      </w:r>
      <w:r w:rsidR="008F0B3B" w:rsidRPr="001927CF">
        <w:rPr>
          <w:rFonts w:ascii="Verdana" w:hAnsi="Verdana"/>
          <w:color w:val="000000" w:themeColor="text1"/>
          <w:lang w:val="en-US"/>
        </w:rPr>
        <w:t>in your own modules</w:t>
      </w:r>
      <w:r w:rsidRPr="001927CF">
        <w:rPr>
          <w:rFonts w:ascii="Verdana" w:hAnsi="Verdana"/>
          <w:color w:val="000000" w:themeColor="text1"/>
          <w:lang w:val="en-US"/>
        </w:rPr>
        <w:t xml:space="preserve"> where you understand the sources and context extremely well. Emphasis was placed on the</w:t>
      </w:r>
      <w:r w:rsidR="008F0B3B" w:rsidRPr="001927CF">
        <w:rPr>
          <w:rFonts w:ascii="Verdana" w:hAnsi="Verdana"/>
          <w:color w:val="000000" w:themeColor="text1"/>
          <w:lang w:val="en-US"/>
        </w:rPr>
        <w:t xml:space="preserve"> need </w:t>
      </w:r>
      <w:r w:rsidRPr="001927CF">
        <w:rPr>
          <w:rFonts w:ascii="Verdana" w:hAnsi="Verdana"/>
          <w:color w:val="000000" w:themeColor="text1"/>
          <w:lang w:val="en-US"/>
        </w:rPr>
        <w:t>for adequate</w:t>
      </w:r>
      <w:r w:rsidR="008F0B3B" w:rsidRPr="001927CF">
        <w:rPr>
          <w:rFonts w:ascii="Verdana" w:hAnsi="Verdana"/>
          <w:color w:val="000000" w:themeColor="text1"/>
          <w:lang w:val="en-US"/>
        </w:rPr>
        <w:t xml:space="preserve"> support </w:t>
      </w:r>
      <w:r w:rsidRPr="001927CF">
        <w:rPr>
          <w:rFonts w:ascii="Verdana" w:hAnsi="Verdana"/>
          <w:color w:val="000000" w:themeColor="text1"/>
          <w:lang w:val="en-US"/>
        </w:rPr>
        <w:t xml:space="preserve">for </w:t>
      </w:r>
      <w:r w:rsidR="008F0B3B" w:rsidRPr="001927CF">
        <w:rPr>
          <w:rFonts w:ascii="Verdana" w:hAnsi="Verdana"/>
          <w:color w:val="000000" w:themeColor="text1"/>
          <w:lang w:val="en-US"/>
        </w:rPr>
        <w:t xml:space="preserve">all team members </w:t>
      </w:r>
      <w:r w:rsidRPr="001927CF">
        <w:rPr>
          <w:rFonts w:ascii="Verdana" w:hAnsi="Verdana"/>
          <w:color w:val="000000" w:themeColor="text1"/>
          <w:lang w:val="en-US"/>
        </w:rPr>
        <w:t>to</w:t>
      </w:r>
      <w:r w:rsidR="008F0B3B" w:rsidRPr="001927CF">
        <w:rPr>
          <w:rFonts w:ascii="Verdana" w:hAnsi="Verdana"/>
          <w:color w:val="000000" w:themeColor="text1"/>
          <w:lang w:val="en-US"/>
        </w:rPr>
        <w:t xml:space="preserve"> equip them with </w:t>
      </w:r>
      <w:r w:rsidRPr="001927CF">
        <w:rPr>
          <w:rFonts w:ascii="Verdana" w:hAnsi="Verdana"/>
          <w:color w:val="000000" w:themeColor="text1"/>
          <w:lang w:val="en-US"/>
        </w:rPr>
        <w:t xml:space="preserve">the </w:t>
      </w:r>
      <w:r w:rsidR="008F0B3B" w:rsidRPr="001927CF">
        <w:rPr>
          <w:rFonts w:ascii="Verdana" w:hAnsi="Verdana"/>
          <w:color w:val="000000" w:themeColor="text1"/>
          <w:lang w:val="en-US"/>
        </w:rPr>
        <w:t>skills</w:t>
      </w:r>
      <w:r w:rsidRPr="001927CF">
        <w:rPr>
          <w:rFonts w:ascii="Verdana" w:hAnsi="Verdana"/>
          <w:color w:val="000000" w:themeColor="text1"/>
          <w:lang w:val="en-US"/>
        </w:rPr>
        <w:t xml:space="preserve"> and </w:t>
      </w:r>
      <w:r w:rsidR="008F0B3B" w:rsidRPr="001927CF">
        <w:rPr>
          <w:rFonts w:ascii="Verdana" w:hAnsi="Verdana"/>
          <w:color w:val="000000" w:themeColor="text1"/>
          <w:lang w:val="en-US"/>
        </w:rPr>
        <w:t>knowledge to work with these sources</w:t>
      </w:r>
      <w:r w:rsidRPr="001927CF">
        <w:rPr>
          <w:rFonts w:ascii="Verdana" w:hAnsi="Verdana"/>
          <w:color w:val="000000" w:themeColor="text1"/>
          <w:lang w:val="en-US"/>
        </w:rPr>
        <w:t>. E</w:t>
      </w:r>
      <w:r w:rsidR="008F0B3B" w:rsidRPr="001927CF">
        <w:rPr>
          <w:rFonts w:ascii="Verdana" w:hAnsi="Verdana"/>
          <w:color w:val="000000" w:themeColor="text1"/>
          <w:lang w:val="en-US"/>
        </w:rPr>
        <w:t xml:space="preserve">xamples </w:t>
      </w:r>
      <w:r w:rsidRPr="001927CF">
        <w:rPr>
          <w:rFonts w:ascii="Verdana" w:hAnsi="Verdana"/>
          <w:color w:val="000000" w:themeColor="text1"/>
          <w:lang w:val="en-US"/>
        </w:rPr>
        <w:t xml:space="preserve">that had worked well </w:t>
      </w:r>
      <w:r w:rsidR="008F0B3B" w:rsidRPr="001927CF">
        <w:rPr>
          <w:rFonts w:ascii="Verdana" w:hAnsi="Verdana"/>
          <w:color w:val="000000" w:themeColor="text1"/>
          <w:lang w:val="en-US"/>
        </w:rPr>
        <w:t xml:space="preserve">included team meetings, training, more time/workload allocation – </w:t>
      </w:r>
      <w:r w:rsidR="005C5422" w:rsidRPr="001927CF">
        <w:rPr>
          <w:rFonts w:ascii="Verdana" w:hAnsi="Verdana"/>
          <w:color w:val="000000" w:themeColor="text1"/>
          <w:lang w:val="en-US"/>
        </w:rPr>
        <w:t>particularly</w:t>
      </w:r>
      <w:r w:rsidR="008F0B3B" w:rsidRPr="001927CF">
        <w:rPr>
          <w:rFonts w:ascii="Verdana" w:hAnsi="Verdana"/>
          <w:color w:val="000000" w:themeColor="text1"/>
          <w:lang w:val="en-US"/>
        </w:rPr>
        <w:t xml:space="preserve"> to support part time or hourly paid tutors, glossary of terms, tutor handbooks with advice and/or FAQs, open lines of communication between the various members of the teaching team </w:t>
      </w:r>
      <w:r w:rsidRPr="001927CF">
        <w:rPr>
          <w:rFonts w:ascii="Verdana" w:hAnsi="Verdana"/>
          <w:color w:val="000000" w:themeColor="text1"/>
          <w:lang w:val="en-US"/>
        </w:rPr>
        <w:t xml:space="preserve">including </w:t>
      </w:r>
      <w:r w:rsidR="008F0B3B" w:rsidRPr="001927CF">
        <w:rPr>
          <w:rFonts w:ascii="Verdana" w:hAnsi="Verdana"/>
          <w:color w:val="000000" w:themeColor="text1"/>
          <w:lang w:val="en-US"/>
        </w:rPr>
        <w:t>encourag</w:t>
      </w:r>
      <w:r w:rsidRPr="001927CF">
        <w:rPr>
          <w:rFonts w:ascii="Verdana" w:hAnsi="Verdana"/>
          <w:color w:val="000000" w:themeColor="text1"/>
          <w:lang w:val="en-US"/>
        </w:rPr>
        <w:t>ing</w:t>
      </w:r>
      <w:r w:rsidR="008F0B3B" w:rsidRPr="001927CF">
        <w:rPr>
          <w:rFonts w:ascii="Verdana" w:hAnsi="Verdana"/>
          <w:color w:val="000000" w:themeColor="text1"/>
          <w:lang w:val="en-US"/>
        </w:rPr>
        <w:t xml:space="preserve"> seminar tutors to ask questions</w:t>
      </w:r>
      <w:r w:rsidRPr="001927CF">
        <w:rPr>
          <w:rFonts w:ascii="Verdana" w:hAnsi="Verdana"/>
          <w:color w:val="000000" w:themeColor="text1"/>
          <w:lang w:val="en-US"/>
        </w:rPr>
        <w:t>.</w:t>
      </w:r>
      <w:r w:rsidR="008817F0">
        <w:rPr>
          <w:rFonts w:ascii="Verdana" w:hAnsi="Verdana"/>
          <w:color w:val="000000" w:themeColor="text1"/>
          <w:lang w:val="en-US"/>
        </w:rPr>
        <w:t xml:space="preserve"> </w:t>
      </w:r>
      <w:r w:rsidR="008817F0" w:rsidRPr="000D00E9">
        <w:rPr>
          <w:rFonts w:ascii="Verdana" w:hAnsi="Verdana"/>
        </w:rPr>
        <w:t xml:space="preserve">Gust also recently reflected that ‘Teaching transgender studies during a period in which trans lives, trans rights and trans futures have been thrust to centre stage feels urgent, </w:t>
      </w:r>
      <w:r w:rsidR="008817F0" w:rsidRPr="000D00E9">
        <w:rPr>
          <w:rFonts w:ascii="Verdana" w:hAnsi="Verdana"/>
        </w:rPr>
        <w:lastRenderedPageBreak/>
        <w:t>necessary, and exciting, if also somewhat daunting’. They also note the ‘serious but productive methodological challenges in teaching this history’ discussing the ‘paucity of records from the perspective of indigenous peoples is itself part of the history of colonial violence…primary sources, and their absence, have a history’.</w:t>
      </w:r>
      <w:r w:rsidR="008817F0" w:rsidRPr="000D00E9">
        <w:rPr>
          <w:rStyle w:val="FootnoteReference"/>
          <w:rFonts w:ascii="Verdana" w:hAnsi="Verdana"/>
        </w:rPr>
        <w:footnoteReference w:id="90"/>
      </w:r>
    </w:p>
    <w:p w14:paraId="30DDBA22" w14:textId="77777777" w:rsidR="009E6CA2" w:rsidRDefault="009E6CA2" w:rsidP="008817F0">
      <w:pPr>
        <w:spacing w:line="276" w:lineRule="auto"/>
        <w:rPr>
          <w:rFonts w:ascii="Verdana" w:hAnsi="Verdana"/>
        </w:rPr>
      </w:pPr>
    </w:p>
    <w:p w14:paraId="6F810DE5" w14:textId="64E709DF" w:rsidR="009E6CA2" w:rsidRDefault="009E6CA2" w:rsidP="008817F0">
      <w:pPr>
        <w:spacing w:line="276" w:lineRule="auto"/>
        <w:rPr>
          <w:rFonts w:ascii="Verdana" w:hAnsi="Verdana"/>
        </w:rPr>
      </w:pPr>
      <w:r>
        <w:rPr>
          <w:rFonts w:ascii="Verdana" w:hAnsi="Verdana"/>
        </w:rPr>
        <w:t xml:space="preserve">In conclusion, history has a unique role to play in enabling effective EDI practices. EDI initiatives must be given long-term sustained funding, support, and staffing. Further research is urgently needed to understand and support disabled staff and students working within history and History UK is leading a </w:t>
      </w:r>
      <w:r w:rsidR="00431C9F">
        <w:rPr>
          <w:rFonts w:ascii="Verdana" w:hAnsi="Verdana"/>
        </w:rPr>
        <w:t xml:space="preserve">new </w:t>
      </w:r>
      <w:r>
        <w:rPr>
          <w:rFonts w:ascii="Verdana" w:hAnsi="Verdana"/>
        </w:rPr>
        <w:t xml:space="preserve">project on this. </w:t>
      </w:r>
      <w:r w:rsidR="00122C27">
        <w:rPr>
          <w:rFonts w:ascii="Verdana" w:hAnsi="Verdana"/>
        </w:rPr>
        <w:t>History UK</w:t>
      </w:r>
      <w:r>
        <w:rPr>
          <w:rFonts w:ascii="Verdana" w:hAnsi="Verdana"/>
        </w:rPr>
        <w:t xml:space="preserve"> look forward to </w:t>
      </w:r>
      <w:r w:rsidR="00BA1089">
        <w:rPr>
          <w:rFonts w:ascii="Verdana" w:hAnsi="Verdana"/>
        </w:rPr>
        <w:t xml:space="preserve">further collaborations and </w:t>
      </w:r>
      <w:r>
        <w:rPr>
          <w:rFonts w:ascii="Verdana" w:hAnsi="Verdana"/>
        </w:rPr>
        <w:t xml:space="preserve">working towards greater </w:t>
      </w:r>
      <w:r w:rsidR="005453C8">
        <w:rPr>
          <w:rFonts w:ascii="Verdana" w:hAnsi="Verdana"/>
        </w:rPr>
        <w:t>diversity and</w:t>
      </w:r>
      <w:r>
        <w:rPr>
          <w:rFonts w:ascii="Verdana" w:hAnsi="Verdana"/>
        </w:rPr>
        <w:t xml:space="preserve"> inclusion in the future</w:t>
      </w:r>
      <w:r w:rsidR="00BA1089">
        <w:rPr>
          <w:rFonts w:ascii="Verdana" w:hAnsi="Verdana"/>
        </w:rPr>
        <w:t xml:space="preserve">. </w:t>
      </w:r>
    </w:p>
    <w:p w14:paraId="5403790D" w14:textId="00297F94" w:rsidR="0B4088E5" w:rsidRPr="00347FD2" w:rsidRDefault="0B4088E5" w:rsidP="0B4088E5">
      <w:pPr>
        <w:spacing w:line="276" w:lineRule="auto"/>
        <w:rPr>
          <w:rFonts w:ascii="Verdana" w:hAnsi="Verdana"/>
          <w:color w:val="000000" w:themeColor="text1"/>
        </w:rPr>
      </w:pPr>
    </w:p>
    <w:sectPr w:rsidR="0B4088E5" w:rsidRPr="00347FD2" w:rsidSect="00CF72D0">
      <w:headerReference w:type="default" r:id="rId25"/>
      <w:footerReference w:type="even" r:id="rId26"/>
      <w:footerReference w:type="default" r:id="rId27"/>
      <w:pgSz w:w="11906" w:h="16838"/>
      <w:pgMar w:top="1985"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F0AE" w14:textId="77777777" w:rsidR="00FA2911" w:rsidRDefault="00FA2911" w:rsidP="00C40CD7">
      <w:r>
        <w:separator/>
      </w:r>
    </w:p>
  </w:endnote>
  <w:endnote w:type="continuationSeparator" w:id="0">
    <w:p w14:paraId="536D5F27" w14:textId="77777777" w:rsidR="00FA2911" w:rsidRDefault="00FA2911" w:rsidP="00C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1413536"/>
      <w:docPartObj>
        <w:docPartGallery w:val="Page Numbers (Bottom of Page)"/>
        <w:docPartUnique/>
      </w:docPartObj>
    </w:sdtPr>
    <w:sdtContent>
      <w:p w14:paraId="3B663565" w14:textId="3BC7421A" w:rsidR="009137FB" w:rsidRDefault="009137FB" w:rsidP="00415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D1833" w14:textId="77777777" w:rsidR="009137FB" w:rsidRDefault="009137FB" w:rsidP="00913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308682"/>
      <w:docPartObj>
        <w:docPartGallery w:val="Page Numbers (Bottom of Page)"/>
        <w:docPartUnique/>
      </w:docPartObj>
    </w:sdtPr>
    <w:sdtContent>
      <w:p w14:paraId="3A0A0CA2" w14:textId="6609CCD0" w:rsidR="009137FB" w:rsidRDefault="009137FB" w:rsidP="00415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653D0" w14:textId="6F60FFC1" w:rsidR="009137FB" w:rsidRDefault="00704B24" w:rsidP="00704B24">
    <w:pPr>
      <w:pStyle w:val="Footer"/>
      <w:tabs>
        <w:tab w:val="clear" w:pos="4513"/>
        <w:tab w:val="clear" w:pos="9026"/>
        <w:tab w:val="left" w:pos="3147"/>
      </w:tabs>
      <w:ind w:right="360"/>
      <w:jc w:val="center"/>
    </w:pPr>
    <w:r>
      <w:t xml:space="preserve">History, Pedagogy and EDI Project Report: Holland, Budd, McGuire, Williams, </w:t>
    </w:r>
    <w:proofErr w:type="spellStart"/>
    <w:r>
      <w:t>Peplow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8A52" w14:textId="77777777" w:rsidR="00FA2911" w:rsidRDefault="00FA2911" w:rsidP="00C40CD7">
      <w:r>
        <w:separator/>
      </w:r>
    </w:p>
  </w:footnote>
  <w:footnote w:type="continuationSeparator" w:id="0">
    <w:p w14:paraId="57BA0B61" w14:textId="77777777" w:rsidR="00FA2911" w:rsidRDefault="00FA2911" w:rsidP="00C40CD7">
      <w:r>
        <w:continuationSeparator/>
      </w:r>
    </w:p>
  </w:footnote>
  <w:footnote w:id="1">
    <w:p w14:paraId="1795FCB9" w14:textId="0D968D07" w:rsidR="004535D0" w:rsidRPr="00801364" w:rsidRDefault="004535D0" w:rsidP="00801364">
      <w:pPr>
        <w:pStyle w:val="FootnoteText"/>
        <w:rPr>
          <w:rFonts w:cstheme="minorHAnsi"/>
        </w:rPr>
      </w:pPr>
      <w:r w:rsidRPr="00801364">
        <w:rPr>
          <w:rStyle w:val="FootnoteReference"/>
          <w:rFonts w:cstheme="minorHAnsi"/>
        </w:rPr>
        <w:footnoteRef/>
      </w:r>
      <w:r w:rsidRPr="00801364">
        <w:rPr>
          <w:rFonts w:cstheme="minorHAnsi"/>
        </w:rPr>
        <w:t xml:space="preserve"> M. Collins and J. Wood, </w:t>
      </w:r>
      <w:r w:rsidRPr="00801364">
        <w:rPr>
          <w:rFonts w:cstheme="minorHAnsi"/>
          <w:i/>
          <w:iCs/>
        </w:rPr>
        <w:t>Post-Pandemic Pedagogy: a report for best practice for history teaching after Covid</w:t>
      </w:r>
      <w:r w:rsidRPr="00801364">
        <w:rPr>
          <w:rFonts w:cstheme="minorHAnsi"/>
        </w:rPr>
        <w:t xml:space="preserve"> (2023). See also interim report online: </w:t>
      </w:r>
      <w:hyperlink r:id="rId1" w:history="1">
        <w:r w:rsidRPr="00801364">
          <w:rPr>
            <w:rStyle w:val="Hyperlink"/>
            <w:rFonts w:cstheme="minorHAnsi"/>
          </w:rPr>
          <w:t>https://www.history-uk.ac.uk/post-pandemic-pedagogy/</w:t>
        </w:r>
      </w:hyperlink>
      <w:r w:rsidRPr="00801364">
        <w:rPr>
          <w:rFonts w:cstheme="minorHAnsi"/>
        </w:rPr>
        <w:t xml:space="preserve">.  </w:t>
      </w:r>
    </w:p>
  </w:footnote>
  <w:footnote w:id="2">
    <w:p w14:paraId="60AD615C" w14:textId="0FC89B90" w:rsidR="00804CC2" w:rsidRPr="00801364" w:rsidRDefault="00804CC2" w:rsidP="00801364">
      <w:pPr>
        <w:pStyle w:val="FootnoteText"/>
        <w:rPr>
          <w:rFonts w:cstheme="minorHAnsi"/>
        </w:rPr>
      </w:pPr>
      <w:r w:rsidRPr="00801364">
        <w:rPr>
          <w:rStyle w:val="FootnoteReference"/>
          <w:rFonts w:cstheme="minorHAnsi"/>
        </w:rPr>
        <w:footnoteRef/>
      </w:r>
      <w:r w:rsidRPr="00801364">
        <w:rPr>
          <w:rFonts w:cstheme="minorHAnsi"/>
        </w:rPr>
        <w:t xml:space="preserve"> The most recent manifestation of this long attack is the cuts to subsidies for arts and humanities courses at English Universities. See </w:t>
      </w:r>
      <w:hyperlink r:id="rId2" w:history="1">
        <w:r w:rsidRPr="00801364">
          <w:rPr>
            <w:rStyle w:val="Hyperlink"/>
            <w:rFonts w:cstheme="minorHAnsi"/>
          </w:rPr>
          <w:t>‘UCU condemns “biggest attack on arts in living memory” announced by Office for Students</w:t>
        </w:r>
        <w:r w:rsidR="004918C2" w:rsidRPr="00801364">
          <w:rPr>
            <w:rStyle w:val="Hyperlink"/>
            <w:rFonts w:cstheme="minorHAnsi"/>
          </w:rPr>
          <w:t>’ (2021)</w:t>
        </w:r>
      </w:hyperlink>
      <w:r w:rsidR="00006DE4" w:rsidRPr="00801364">
        <w:rPr>
          <w:rFonts w:cstheme="minorHAnsi"/>
        </w:rPr>
        <w:t xml:space="preserve"> and for background to this see Joe Moran, ‘The Humanities and the University: a Brief History of the Present Crisis’, </w:t>
      </w:r>
      <w:r w:rsidR="00006DE4" w:rsidRPr="00801364">
        <w:rPr>
          <w:rFonts w:cstheme="minorHAnsi"/>
          <w:i/>
          <w:iCs/>
        </w:rPr>
        <w:t>Critical Quarterly</w:t>
      </w:r>
      <w:r w:rsidR="00006DE4" w:rsidRPr="00801364">
        <w:rPr>
          <w:rFonts w:cstheme="minorHAnsi"/>
        </w:rPr>
        <w:t>, 64:3 (2002).</w:t>
      </w:r>
    </w:p>
  </w:footnote>
  <w:footnote w:id="3">
    <w:p w14:paraId="27F9CA5F" w14:textId="4D7ADFED" w:rsidR="005D3842" w:rsidRPr="00801364" w:rsidRDefault="005D3842" w:rsidP="00801364">
      <w:pPr>
        <w:pStyle w:val="FootnoteText"/>
        <w:rPr>
          <w:rFonts w:cstheme="minorHAnsi"/>
        </w:rPr>
      </w:pPr>
      <w:r w:rsidRPr="00801364">
        <w:rPr>
          <w:rStyle w:val="FootnoteReference"/>
          <w:rFonts w:cstheme="minorHAnsi"/>
        </w:rPr>
        <w:footnoteRef/>
      </w:r>
      <w:r w:rsidRPr="00801364">
        <w:rPr>
          <w:rFonts w:cstheme="minorHAnsi"/>
        </w:rPr>
        <w:t xml:space="preserve"> H.A. Giroux, </w:t>
      </w:r>
      <w:r w:rsidRPr="00801364">
        <w:rPr>
          <w:rFonts w:cstheme="minorHAnsi"/>
          <w:i/>
          <w:iCs/>
        </w:rPr>
        <w:t>Race, Politics and Pandemic Pedagogy: Education in a Time of Crisis</w:t>
      </w:r>
      <w:r w:rsidRPr="00801364">
        <w:rPr>
          <w:rFonts w:cstheme="minorHAnsi"/>
        </w:rPr>
        <w:t xml:space="preserve"> (2021)</w:t>
      </w:r>
    </w:p>
  </w:footnote>
  <w:footnote w:id="4">
    <w:p w14:paraId="37F161CC" w14:textId="76FF95CC" w:rsidR="005E045D" w:rsidRPr="00801364" w:rsidRDefault="005E045D" w:rsidP="00801364">
      <w:pPr>
        <w:pStyle w:val="FootnoteText"/>
        <w:rPr>
          <w:rFonts w:cstheme="minorHAnsi"/>
        </w:rPr>
      </w:pPr>
      <w:r w:rsidRPr="00801364">
        <w:rPr>
          <w:rStyle w:val="FootnoteReference"/>
          <w:rFonts w:cstheme="minorHAnsi"/>
        </w:rPr>
        <w:footnoteRef/>
      </w:r>
      <w:r w:rsidRPr="00801364">
        <w:rPr>
          <w:rFonts w:cstheme="minorHAnsi"/>
        </w:rPr>
        <w:t xml:space="preserve"> Advance HE report: </w:t>
      </w:r>
      <w:hyperlink r:id="rId3" w:history="1">
        <w:r w:rsidRPr="00801364">
          <w:rPr>
            <w:rStyle w:val="Hyperlink"/>
            <w:rFonts w:cstheme="minorHAnsi"/>
          </w:rPr>
          <w:t>https://www.advance-he.ac.uk/guidance/governance/governance-and-edi/edi-challenges-higher-education/staff-inequalities</w:t>
        </w:r>
      </w:hyperlink>
      <w:r w:rsidRPr="00801364">
        <w:rPr>
          <w:rFonts w:cstheme="minorHAnsi"/>
        </w:rPr>
        <w:t>.</w:t>
      </w:r>
    </w:p>
    <w:p w14:paraId="1C4FEAEF" w14:textId="5B6358C6" w:rsidR="00CF1D09" w:rsidRPr="00801364" w:rsidRDefault="00CF1D09" w:rsidP="00801364">
      <w:pPr>
        <w:pStyle w:val="FootnoteText"/>
        <w:rPr>
          <w:rFonts w:cstheme="minorHAnsi"/>
        </w:rPr>
      </w:pPr>
      <w:r w:rsidRPr="00801364">
        <w:rPr>
          <w:rFonts w:cstheme="minorHAnsi"/>
        </w:rPr>
        <w:t xml:space="preserve">Mind the Gap: gender differences in Higher Education – by Rachel Hewitt (March 2020) </w:t>
      </w:r>
      <w:hyperlink r:id="rId4" w:history="1">
        <w:r w:rsidRPr="00801364">
          <w:rPr>
            <w:rStyle w:val="Hyperlink"/>
            <w:rFonts w:cstheme="minorHAnsi"/>
          </w:rPr>
          <w:t>https://www.hepi.ac.uk/2020/03/07/mind-the-gap-gender-differences-in-higher-education/</w:t>
        </w:r>
      </w:hyperlink>
      <w:r w:rsidRPr="00801364">
        <w:rPr>
          <w:rFonts w:cstheme="minorHAnsi"/>
        </w:rPr>
        <w:t xml:space="preserve"> </w:t>
      </w:r>
    </w:p>
  </w:footnote>
  <w:footnote w:id="5">
    <w:p w14:paraId="695BB519" w14:textId="77777777" w:rsidR="004D6410" w:rsidRPr="00801364" w:rsidRDefault="004D6410" w:rsidP="00801364">
      <w:pPr>
        <w:pStyle w:val="FootnoteText"/>
        <w:rPr>
          <w:rFonts w:cstheme="minorHAnsi"/>
        </w:rPr>
      </w:pPr>
      <w:r w:rsidRPr="00801364">
        <w:rPr>
          <w:rStyle w:val="FootnoteReference"/>
          <w:rFonts w:cstheme="minorHAnsi"/>
        </w:rPr>
        <w:footnoteRef/>
      </w:r>
      <w:r w:rsidRPr="00801364">
        <w:rPr>
          <w:rFonts w:cstheme="minorHAnsi"/>
        </w:rPr>
        <w:t xml:space="preserve"> What researchers think about the culture they work in (Jan 2020) – </w:t>
      </w:r>
      <w:proofErr w:type="spellStart"/>
      <w:r w:rsidRPr="00801364">
        <w:rPr>
          <w:rFonts w:cstheme="minorHAnsi"/>
        </w:rPr>
        <w:t>Wellcome</w:t>
      </w:r>
      <w:proofErr w:type="spellEnd"/>
      <w:r w:rsidRPr="00801364">
        <w:rPr>
          <w:rFonts w:cstheme="minorHAnsi"/>
        </w:rPr>
        <w:t xml:space="preserve"> Report </w:t>
      </w:r>
      <w:hyperlink r:id="rId5" w:history="1">
        <w:r w:rsidRPr="00801364">
          <w:rPr>
            <w:rStyle w:val="Hyperlink"/>
            <w:rFonts w:cstheme="minorHAnsi"/>
          </w:rPr>
          <w:t>https://wellcome.org/reports/what-researchers-think-about-research-culture</w:t>
        </w:r>
      </w:hyperlink>
      <w:r w:rsidRPr="00801364">
        <w:rPr>
          <w:rFonts w:cstheme="minorHAnsi"/>
        </w:rPr>
        <w:t xml:space="preserve"> </w:t>
      </w:r>
    </w:p>
    <w:p w14:paraId="7E3F744B" w14:textId="77777777" w:rsidR="004D6410" w:rsidRPr="00801364" w:rsidRDefault="004D6410" w:rsidP="00801364">
      <w:pPr>
        <w:pStyle w:val="FootnoteText"/>
        <w:rPr>
          <w:rFonts w:cstheme="minorHAnsi"/>
        </w:rPr>
      </w:pPr>
      <w:r w:rsidRPr="00801364">
        <w:rPr>
          <w:rFonts w:cstheme="minorHAnsi"/>
        </w:rPr>
        <w:t xml:space="preserve">Counting the costs of casualisation in higher education (June 2019) </w:t>
      </w:r>
      <w:hyperlink r:id="rId6" w:history="1">
        <w:r w:rsidRPr="00801364">
          <w:rPr>
            <w:rStyle w:val="Hyperlink"/>
            <w:rFonts w:cstheme="minorHAnsi"/>
          </w:rPr>
          <w:t>https://www.ucu.org.uk/media/10336/Counting-the-costs-of-casualisation-in-higher-education-Jun-19/pdf/ucu_casualisation_in_HE_survey_report_Jun19.pdf</w:t>
        </w:r>
      </w:hyperlink>
      <w:r w:rsidRPr="00801364">
        <w:rPr>
          <w:rFonts w:cstheme="minorHAnsi"/>
        </w:rPr>
        <w:t xml:space="preserve"> </w:t>
      </w:r>
    </w:p>
    <w:p w14:paraId="635D56E2" w14:textId="3CE29EFF" w:rsidR="004D6410" w:rsidRPr="00801364" w:rsidRDefault="004D6410" w:rsidP="00801364">
      <w:pPr>
        <w:pStyle w:val="FootnoteText"/>
        <w:rPr>
          <w:rFonts w:cstheme="minorHAnsi"/>
        </w:rPr>
      </w:pPr>
      <w:r w:rsidRPr="00801364">
        <w:rPr>
          <w:rFonts w:cstheme="minorHAnsi"/>
        </w:rPr>
        <w:t xml:space="preserve">Precarious work in higher education: Insecure contracts and how they have changed over time (Oct 2021) </w:t>
      </w:r>
      <w:hyperlink r:id="rId7" w:history="1">
        <w:r w:rsidRPr="00801364">
          <w:rPr>
            <w:rStyle w:val="Hyperlink"/>
            <w:rFonts w:cstheme="minorHAnsi"/>
          </w:rPr>
          <w:t>https://www.ucu.org.uk/media/10899/Precarious-work-in-higher-education-May-20/pdf/ucu_he-precarity-report_may20.pdf</w:t>
        </w:r>
      </w:hyperlink>
      <w:r w:rsidRPr="00801364">
        <w:rPr>
          <w:rFonts w:cstheme="minorHAnsi"/>
        </w:rPr>
        <w:t xml:space="preserve"> </w:t>
      </w:r>
    </w:p>
  </w:footnote>
  <w:footnote w:id="6">
    <w:p w14:paraId="00631F10" w14:textId="6359BB82" w:rsidR="007D6DF3" w:rsidRPr="00801364" w:rsidRDefault="007D6DF3" w:rsidP="00801364">
      <w:pPr>
        <w:pStyle w:val="FootnoteText"/>
        <w:rPr>
          <w:rFonts w:cstheme="minorHAnsi"/>
        </w:rPr>
      </w:pPr>
      <w:r w:rsidRPr="00801364">
        <w:rPr>
          <w:rStyle w:val="FootnoteReference"/>
          <w:rFonts w:cstheme="minorHAnsi"/>
        </w:rPr>
        <w:footnoteRef/>
      </w:r>
      <w:r w:rsidRPr="00801364">
        <w:rPr>
          <w:rFonts w:cstheme="minorHAnsi"/>
        </w:rPr>
        <w:t xml:space="preserve"> Ann Lopes and Indra </w:t>
      </w:r>
      <w:proofErr w:type="spellStart"/>
      <w:r w:rsidRPr="00801364">
        <w:rPr>
          <w:rFonts w:cstheme="minorHAnsi"/>
        </w:rPr>
        <w:t>Angeli</w:t>
      </w:r>
      <w:proofErr w:type="spellEnd"/>
      <w:r w:rsidRPr="00801364">
        <w:rPr>
          <w:rFonts w:cstheme="minorHAnsi"/>
        </w:rPr>
        <w:t xml:space="preserve"> Dewan, ‘Precarious Pedagogies? The Impact of Casual and Zero-Hour Contracts in Higher Education’, </w:t>
      </w:r>
      <w:r w:rsidRPr="00801364">
        <w:rPr>
          <w:rFonts w:cstheme="minorHAnsi"/>
          <w:i/>
          <w:iCs/>
        </w:rPr>
        <w:t>Journal of Feminist Scholarship</w:t>
      </w:r>
      <w:r w:rsidRPr="00801364">
        <w:rPr>
          <w:rFonts w:cstheme="minorHAnsi"/>
        </w:rPr>
        <w:t xml:space="preserve">, 7:7 (2015) p.35; Teresa Crew, </w:t>
      </w:r>
      <w:r w:rsidRPr="00801364">
        <w:rPr>
          <w:rFonts w:cstheme="minorHAnsi"/>
          <w:i/>
          <w:iCs/>
        </w:rPr>
        <w:t>Higher Education and Working-Class Academics: Precarity and Diversity in Academia</w:t>
      </w:r>
      <w:r w:rsidRPr="00801364">
        <w:rPr>
          <w:rFonts w:cstheme="minorHAnsi"/>
        </w:rPr>
        <w:t xml:space="preserve"> (2020) pp.50-53</w:t>
      </w:r>
      <w:r w:rsidR="002316C6" w:rsidRPr="00801364">
        <w:rPr>
          <w:rFonts w:cstheme="minorHAnsi"/>
        </w:rPr>
        <w:t>.</w:t>
      </w:r>
    </w:p>
  </w:footnote>
  <w:footnote w:id="7">
    <w:p w14:paraId="6EC293A2" w14:textId="77DF3E07" w:rsidR="005E045D" w:rsidRPr="00801364" w:rsidRDefault="005E045D" w:rsidP="00801364">
      <w:pPr>
        <w:pStyle w:val="FootnoteText"/>
        <w:rPr>
          <w:rFonts w:cstheme="minorHAnsi"/>
        </w:rPr>
      </w:pPr>
      <w:r w:rsidRPr="00801364">
        <w:rPr>
          <w:rStyle w:val="FootnoteReference"/>
          <w:rFonts w:cstheme="minorHAnsi"/>
        </w:rPr>
        <w:footnoteRef/>
      </w:r>
      <w:r w:rsidRPr="00801364">
        <w:rPr>
          <w:rFonts w:cstheme="minorHAnsi"/>
        </w:rPr>
        <w:t xml:space="preserve"> Advance HE reports: </w:t>
      </w:r>
      <w:hyperlink r:id="rId8" w:history="1">
        <w:r w:rsidRPr="00801364">
          <w:rPr>
            <w:rStyle w:val="Hyperlink"/>
            <w:rFonts w:cstheme="minorHAnsi"/>
          </w:rPr>
          <w:t>https://www.advance-he.ac.uk/guidance/governance/governance-and-edi/edi-challenges-higher-education/student-inequalities</w:t>
        </w:r>
      </w:hyperlink>
    </w:p>
    <w:p w14:paraId="39A69434" w14:textId="77777777" w:rsidR="005E045D" w:rsidRPr="00801364" w:rsidRDefault="005E045D" w:rsidP="00801364">
      <w:pPr>
        <w:pStyle w:val="FootnoteText"/>
        <w:rPr>
          <w:rFonts w:cstheme="minorHAnsi"/>
          <w:u w:val="single"/>
        </w:rPr>
      </w:pPr>
      <w:r w:rsidRPr="00801364">
        <w:rPr>
          <w:rFonts w:cstheme="minorHAnsi"/>
        </w:rPr>
        <w:t xml:space="preserve">And </w:t>
      </w:r>
      <w:proofErr w:type="spellStart"/>
      <w:r w:rsidRPr="00801364">
        <w:rPr>
          <w:rFonts w:cstheme="minorHAnsi"/>
        </w:rPr>
        <w:t>OfS</w:t>
      </w:r>
      <w:proofErr w:type="spellEnd"/>
      <w:r w:rsidRPr="00801364">
        <w:rPr>
          <w:rFonts w:cstheme="minorHAnsi"/>
        </w:rPr>
        <w:t xml:space="preserve"> report – ‘Differences in Student Outcomes (Nov 2020) </w:t>
      </w:r>
      <w:hyperlink r:id="rId9" w:history="1">
        <w:r w:rsidRPr="00801364">
          <w:rPr>
            <w:rStyle w:val="Hyperlink"/>
            <w:rFonts w:cstheme="minorHAnsi"/>
          </w:rPr>
          <w:t>https://www.officeforstudents.org.uk/media/3948d9a3-84b5-409b-8b11-760a9e94c997/differences_in_student_outcomes_further_characteristics_november_2020.pdf</w:t>
        </w:r>
      </w:hyperlink>
    </w:p>
    <w:p w14:paraId="46906D86" w14:textId="77777777" w:rsidR="005E045D" w:rsidRPr="00801364" w:rsidRDefault="005E045D" w:rsidP="00801364">
      <w:pPr>
        <w:pStyle w:val="FootnoteText"/>
        <w:rPr>
          <w:rFonts w:cstheme="minorHAnsi"/>
          <w:u w:val="single"/>
        </w:rPr>
      </w:pPr>
      <w:r w:rsidRPr="00801364">
        <w:rPr>
          <w:rFonts w:cstheme="minorHAnsi"/>
        </w:rPr>
        <w:t>‘Care leavers more likely to drop out of university’ (June 2020)</w:t>
      </w:r>
    </w:p>
    <w:p w14:paraId="623D385B" w14:textId="641E732F" w:rsidR="005E045D" w:rsidRPr="00801364" w:rsidRDefault="00000000" w:rsidP="00801364">
      <w:pPr>
        <w:pStyle w:val="FootnoteText"/>
        <w:rPr>
          <w:rStyle w:val="Hyperlink"/>
          <w:rFonts w:cstheme="minorHAnsi"/>
        </w:rPr>
      </w:pPr>
      <w:hyperlink r:id="rId10" w:history="1">
        <w:r w:rsidR="005E045D" w:rsidRPr="00801364">
          <w:rPr>
            <w:rStyle w:val="Hyperlink"/>
            <w:rFonts w:cstheme="minorHAnsi"/>
          </w:rPr>
          <w:t>https://www.officeforstudents.org.uk/news-blog-and-events/press-and-media/care-leavers-more-likely-to-drop-out-of-university/</w:t>
        </w:r>
      </w:hyperlink>
      <w:r w:rsidR="00DA2604" w:rsidRPr="00801364">
        <w:rPr>
          <w:rStyle w:val="Hyperlink"/>
          <w:rFonts w:cstheme="minorHAnsi"/>
        </w:rPr>
        <w:t>;</w:t>
      </w:r>
    </w:p>
    <w:p w14:paraId="49F9D734" w14:textId="58F469B4" w:rsidR="00DA2604" w:rsidRPr="00801364" w:rsidRDefault="00000000" w:rsidP="00801364">
      <w:pPr>
        <w:pStyle w:val="FootnoteText"/>
        <w:rPr>
          <w:rFonts w:cstheme="minorHAnsi"/>
          <w:color w:val="0563C1" w:themeColor="hyperlink"/>
          <w:u w:val="single"/>
        </w:rPr>
      </w:pPr>
      <w:hyperlink r:id="rId11" w:history="1">
        <w:r w:rsidR="00DA2604" w:rsidRPr="00801364">
          <w:rPr>
            <w:rStyle w:val="Hyperlink"/>
            <w:rFonts w:cstheme="minorHAnsi"/>
          </w:rPr>
          <w:t>https://www.officeforstudents.org.uk/advice-and-guidance/promoting-equal-opportunities/effective-practice/black-asian-and-minority-ethnic-students/</w:t>
        </w:r>
      </w:hyperlink>
      <w:r w:rsidR="00DA2604" w:rsidRPr="00801364">
        <w:rPr>
          <w:rFonts w:cstheme="minorHAnsi"/>
          <w:color w:val="0563C1" w:themeColor="hyperlink"/>
          <w:u w:val="single"/>
        </w:rPr>
        <w:t xml:space="preserve"> </w:t>
      </w:r>
    </w:p>
  </w:footnote>
  <w:footnote w:id="8">
    <w:p w14:paraId="02156B9D" w14:textId="450901C4" w:rsidR="004F631E" w:rsidRPr="00801364" w:rsidRDefault="004F631E" w:rsidP="00801364">
      <w:pPr>
        <w:pStyle w:val="FootnoteText"/>
        <w:rPr>
          <w:rFonts w:cstheme="minorHAnsi"/>
        </w:rPr>
      </w:pPr>
      <w:r w:rsidRPr="00801364">
        <w:rPr>
          <w:rStyle w:val="FootnoteReference"/>
          <w:rFonts w:cstheme="minorHAnsi"/>
        </w:rPr>
        <w:footnoteRef/>
      </w:r>
      <w:r w:rsidRPr="00801364">
        <w:rPr>
          <w:rFonts w:cstheme="minorHAnsi"/>
        </w:rPr>
        <w:t xml:space="preserve"> </w:t>
      </w:r>
      <w:r w:rsidR="004871A8" w:rsidRPr="00801364">
        <w:rPr>
          <w:rFonts w:cstheme="minorHAnsi"/>
        </w:rPr>
        <w:t>'Place matters: Inequality, employment and the role of higher education' (</w:t>
      </w:r>
      <w:proofErr w:type="spellStart"/>
      <w:r w:rsidR="004871A8" w:rsidRPr="00801364">
        <w:rPr>
          <w:rFonts w:cstheme="minorHAnsi"/>
        </w:rPr>
        <w:t>nov</w:t>
      </w:r>
      <w:proofErr w:type="spellEnd"/>
      <w:r w:rsidR="004871A8" w:rsidRPr="00801364">
        <w:rPr>
          <w:rFonts w:cstheme="minorHAnsi"/>
        </w:rPr>
        <w:t xml:space="preserve"> 2021) </w:t>
      </w:r>
      <w:hyperlink r:id="rId12" w:history="1">
        <w:r w:rsidR="004871A8" w:rsidRPr="00801364">
          <w:rPr>
            <w:rStyle w:val="Hyperlink"/>
            <w:rFonts w:cstheme="minorHAnsi"/>
          </w:rPr>
          <w:t>https://www.officeforstudents.org.uk/media/e7b7531f-f61b-4641-9952-8d38ff12a321/ofs-insight-brief-11-updated-10-may-2022.pdf</w:t>
        </w:r>
      </w:hyperlink>
    </w:p>
  </w:footnote>
  <w:footnote w:id="9">
    <w:p w14:paraId="5A7A8DE2" w14:textId="0A3C2AE8" w:rsidR="00495E92" w:rsidRPr="00801364" w:rsidRDefault="00495E92" w:rsidP="00801364">
      <w:pPr>
        <w:tabs>
          <w:tab w:val="left" w:pos="1574"/>
        </w:tabs>
        <w:rPr>
          <w:rFonts w:cstheme="minorHAnsi"/>
          <w:color w:val="FF0000"/>
          <w:sz w:val="20"/>
          <w:szCs w:val="20"/>
        </w:rPr>
      </w:pPr>
      <w:r w:rsidRPr="00801364">
        <w:rPr>
          <w:rStyle w:val="FootnoteReference"/>
          <w:rFonts w:cstheme="minorHAnsi"/>
          <w:sz w:val="20"/>
          <w:szCs w:val="20"/>
        </w:rPr>
        <w:footnoteRef/>
      </w:r>
      <w:r w:rsidRPr="00801364">
        <w:rPr>
          <w:rFonts w:cstheme="minorHAnsi"/>
          <w:sz w:val="20"/>
          <w:szCs w:val="20"/>
        </w:rPr>
        <w:t xml:space="preserve"> </w:t>
      </w:r>
      <w:r w:rsidR="004871A8" w:rsidRPr="00801364">
        <w:rPr>
          <w:rFonts w:cstheme="minorHAnsi"/>
          <w:sz w:val="20"/>
          <w:szCs w:val="20"/>
        </w:rPr>
        <w:t xml:space="preserve">Local and Commuter Students (July 2020) </w:t>
      </w:r>
      <w:hyperlink r:id="rId13" w:history="1">
        <w:r w:rsidR="004871A8" w:rsidRPr="00801364">
          <w:rPr>
            <w:rStyle w:val="Hyperlink"/>
            <w:rFonts w:cstheme="minorHAnsi"/>
            <w:sz w:val="20"/>
            <w:szCs w:val="20"/>
          </w:rPr>
          <w:t>https://www.officeforstudents.org.uk/advice-and-guidance/promoting-equal-opportunities/effective-practice/local-and-commuter-students/</w:t>
        </w:r>
      </w:hyperlink>
      <w:r w:rsidR="004871A8" w:rsidRPr="00801364">
        <w:rPr>
          <w:rFonts w:cstheme="minorHAnsi"/>
          <w:sz w:val="20"/>
          <w:szCs w:val="20"/>
          <w:u w:val="single"/>
        </w:rPr>
        <w:t xml:space="preserve"> </w:t>
      </w:r>
      <w:r w:rsidR="004871A8" w:rsidRPr="00801364">
        <w:rPr>
          <w:rFonts w:cstheme="minorHAnsi"/>
          <w:sz w:val="20"/>
          <w:szCs w:val="20"/>
        </w:rPr>
        <w:t xml:space="preserve"> </w:t>
      </w:r>
    </w:p>
    <w:p w14:paraId="5CEEC384" w14:textId="77777777" w:rsidR="009A37A2" w:rsidRPr="00801364" w:rsidRDefault="009A37A2" w:rsidP="00801364">
      <w:pPr>
        <w:tabs>
          <w:tab w:val="left" w:pos="1574"/>
        </w:tabs>
        <w:rPr>
          <w:rFonts w:cstheme="minorHAnsi"/>
          <w:color w:val="000000" w:themeColor="text1"/>
          <w:sz w:val="20"/>
          <w:szCs w:val="20"/>
        </w:rPr>
      </w:pPr>
      <w:r w:rsidRPr="00801364">
        <w:rPr>
          <w:rFonts w:cstheme="minorHAnsi"/>
          <w:color w:val="000000" w:themeColor="text1"/>
          <w:sz w:val="20"/>
          <w:szCs w:val="20"/>
        </w:rPr>
        <w:t xml:space="preserve">Students who commute to university are getting a raw deal (Dec 2018) </w:t>
      </w:r>
      <w:hyperlink r:id="rId14" w:history="1">
        <w:r w:rsidRPr="00801364">
          <w:rPr>
            <w:rStyle w:val="Hyperlink"/>
            <w:rFonts w:cstheme="minorHAnsi"/>
            <w:color w:val="000000" w:themeColor="text1"/>
            <w:sz w:val="20"/>
            <w:szCs w:val="20"/>
          </w:rPr>
          <w:t>https://www.theguardian.com/education/2018/dec/13/students-who-commute-to-university-are-getting-a-raw-deal</w:t>
        </w:r>
      </w:hyperlink>
      <w:r w:rsidRPr="00801364">
        <w:rPr>
          <w:rFonts w:cstheme="minorHAnsi"/>
          <w:color w:val="000000" w:themeColor="text1"/>
          <w:sz w:val="20"/>
          <w:szCs w:val="20"/>
        </w:rPr>
        <w:t xml:space="preserve"> </w:t>
      </w:r>
    </w:p>
    <w:p w14:paraId="5BFB90CC" w14:textId="2BA3D4A9" w:rsidR="009A37A2" w:rsidRPr="00801364" w:rsidRDefault="00AE2ABC" w:rsidP="00801364">
      <w:pPr>
        <w:tabs>
          <w:tab w:val="left" w:pos="1574"/>
        </w:tabs>
        <w:rPr>
          <w:rFonts w:cstheme="minorHAnsi"/>
          <w:color w:val="FF0000"/>
          <w:sz w:val="20"/>
          <w:szCs w:val="20"/>
        </w:rPr>
      </w:pPr>
      <w:r w:rsidRPr="00801364">
        <w:rPr>
          <w:rFonts w:cstheme="minorHAnsi"/>
          <w:color w:val="000000" w:themeColor="text1"/>
          <w:sz w:val="20"/>
          <w:szCs w:val="20"/>
        </w:rPr>
        <w:t xml:space="preserve">Where do HE </w:t>
      </w:r>
      <w:proofErr w:type="gramStart"/>
      <w:r w:rsidRPr="00801364">
        <w:rPr>
          <w:rFonts w:cstheme="minorHAnsi"/>
          <w:color w:val="000000" w:themeColor="text1"/>
          <w:sz w:val="20"/>
          <w:szCs w:val="20"/>
        </w:rPr>
        <w:t>students</w:t>
      </w:r>
      <w:proofErr w:type="gramEnd"/>
      <w:r w:rsidRPr="00801364">
        <w:rPr>
          <w:rFonts w:cstheme="minorHAnsi"/>
          <w:color w:val="000000" w:themeColor="text1"/>
          <w:sz w:val="20"/>
          <w:szCs w:val="20"/>
        </w:rPr>
        <w:t xml:space="preserve"> study? (Feb 2022) https://www.hesa.ac.uk/data-and-analysis/students/where-study#accommodation</w:t>
      </w:r>
    </w:p>
  </w:footnote>
  <w:footnote w:id="10">
    <w:p w14:paraId="551A799C" w14:textId="77777777" w:rsidR="00DC75EF" w:rsidRPr="00801364" w:rsidRDefault="00DC75EF" w:rsidP="00801364">
      <w:pPr>
        <w:tabs>
          <w:tab w:val="left" w:pos="1574"/>
        </w:tabs>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'Living Black at University': Research into the experiences of Black students in UK student accommodation (Feb 2022) </w:t>
      </w:r>
      <w:hyperlink r:id="rId15" w:history="1">
        <w:r w:rsidRPr="00801364">
          <w:rPr>
            <w:rStyle w:val="Hyperlink"/>
            <w:rFonts w:cstheme="minorHAnsi"/>
            <w:sz w:val="20"/>
            <w:szCs w:val="20"/>
          </w:rPr>
          <w:t>https://www.unitegroup.com/wp-content/uploads/2022/02/Living-Black-at-University-Report_FINAL.pdf</w:t>
        </w:r>
      </w:hyperlink>
      <w:r w:rsidRPr="00801364">
        <w:rPr>
          <w:rFonts w:cstheme="minorHAnsi"/>
          <w:sz w:val="20"/>
          <w:szCs w:val="20"/>
        </w:rPr>
        <w:t xml:space="preserve"> </w:t>
      </w:r>
    </w:p>
  </w:footnote>
  <w:footnote w:id="11">
    <w:p w14:paraId="003975C5" w14:textId="77777777" w:rsidR="00DC75EF" w:rsidRPr="00801364" w:rsidRDefault="00DC75EF" w:rsidP="00801364">
      <w:pPr>
        <w:pStyle w:val="FootnoteText"/>
        <w:rPr>
          <w:rFonts w:cstheme="minorHAnsi"/>
        </w:rPr>
      </w:pPr>
      <w:r w:rsidRPr="00801364">
        <w:rPr>
          <w:rStyle w:val="FootnoteReference"/>
          <w:rFonts w:cstheme="minorHAnsi"/>
        </w:rPr>
        <w:footnoteRef/>
      </w:r>
      <w:r w:rsidRPr="00801364">
        <w:rPr>
          <w:rFonts w:cstheme="minorHAnsi"/>
        </w:rPr>
        <w:t xml:space="preserve"> P. Butler, ‘Britain “not close to being a racially just society”, finds two-year research project’, </w:t>
      </w:r>
      <w:r w:rsidRPr="00801364">
        <w:rPr>
          <w:rFonts w:cstheme="minorHAnsi"/>
          <w:i/>
          <w:iCs/>
        </w:rPr>
        <w:t>The Guardian</w:t>
      </w:r>
      <w:r w:rsidRPr="00801364">
        <w:rPr>
          <w:rFonts w:cstheme="minorHAnsi"/>
        </w:rPr>
        <w:t xml:space="preserve"> (April 2023): </w:t>
      </w:r>
      <w:hyperlink r:id="rId16" w:history="1">
        <w:r w:rsidRPr="00801364">
          <w:rPr>
            <w:rStyle w:val="Hyperlink"/>
            <w:rFonts w:cstheme="minorHAnsi"/>
          </w:rPr>
          <w:t>https://www.theguardian.com/world/2023/apr/09/britain-not-close-to-being-a-racially-just-society-finds-two-year-research-project</w:t>
        </w:r>
      </w:hyperlink>
      <w:r w:rsidRPr="00801364">
        <w:rPr>
          <w:rFonts w:cstheme="minorHAnsi"/>
        </w:rPr>
        <w:t xml:space="preserve"> </w:t>
      </w:r>
    </w:p>
  </w:footnote>
  <w:footnote w:id="12">
    <w:p w14:paraId="3767AECE" w14:textId="77777777" w:rsidR="00DC75EF" w:rsidRPr="00801364" w:rsidRDefault="00DC75EF" w:rsidP="00801364">
      <w:pPr>
        <w:tabs>
          <w:tab w:val="left" w:pos="1574"/>
        </w:tabs>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It’s time to assure students about safety on campus, by Jim Dickinson (March 2021) </w:t>
      </w:r>
      <w:hyperlink r:id="rId17" w:history="1">
        <w:r w:rsidRPr="00801364">
          <w:rPr>
            <w:rStyle w:val="Hyperlink"/>
            <w:rFonts w:cstheme="minorHAnsi"/>
            <w:sz w:val="20"/>
            <w:szCs w:val="20"/>
          </w:rPr>
          <w:t>https://wonkhe.com/blogs/its-time-to-assure-students-about-safety-on-campus/</w:t>
        </w:r>
      </w:hyperlink>
      <w:r w:rsidRPr="00801364">
        <w:rPr>
          <w:rFonts w:cstheme="minorHAnsi"/>
          <w:sz w:val="20"/>
          <w:szCs w:val="20"/>
        </w:rPr>
        <w:t xml:space="preserve"> </w:t>
      </w:r>
    </w:p>
  </w:footnote>
  <w:footnote w:id="13">
    <w:p w14:paraId="75D413A0" w14:textId="02C45980" w:rsidR="00750227" w:rsidRPr="00801364" w:rsidRDefault="00750227" w:rsidP="00801364">
      <w:pPr>
        <w:tabs>
          <w:tab w:val="left" w:pos="1574"/>
        </w:tabs>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Advance HE: Trans staff and students in HE and colleges: improving experiences (Nov 2016) </w:t>
      </w:r>
      <w:hyperlink r:id="rId18" w:history="1">
        <w:r w:rsidRPr="00801364">
          <w:rPr>
            <w:rStyle w:val="Hyperlink"/>
            <w:rFonts w:cstheme="minorHAnsi"/>
            <w:sz w:val="20"/>
            <w:szCs w:val="20"/>
          </w:rPr>
          <w:t>https://www.advance-he.ac.uk/knowledge-hub/trans-staff-and-students-he-and-colleges-improving-experiences</w:t>
        </w:r>
      </w:hyperlink>
      <w:r w:rsidRPr="00801364">
        <w:rPr>
          <w:rFonts w:cstheme="minorHAnsi"/>
          <w:sz w:val="20"/>
          <w:szCs w:val="20"/>
        </w:rPr>
        <w:t xml:space="preserve">; </w:t>
      </w:r>
      <w:proofErr w:type="spellStart"/>
      <w:r w:rsidRPr="00801364">
        <w:rPr>
          <w:rFonts w:cstheme="minorHAnsi"/>
          <w:sz w:val="20"/>
          <w:szCs w:val="20"/>
        </w:rPr>
        <w:t>TransEdu</w:t>
      </w:r>
      <w:proofErr w:type="spellEnd"/>
      <w:r w:rsidRPr="00801364">
        <w:rPr>
          <w:rFonts w:cstheme="minorHAnsi"/>
          <w:sz w:val="20"/>
          <w:szCs w:val="20"/>
        </w:rPr>
        <w:t xml:space="preserve"> Scotland: Researching the experience of trans and gender diverse applicants, students and staff in Scotland’s colleges and universities (Nov 2017) </w:t>
      </w:r>
      <w:hyperlink r:id="rId19" w:history="1">
        <w:r w:rsidRPr="00801364">
          <w:rPr>
            <w:rStyle w:val="Hyperlink"/>
            <w:rFonts w:cstheme="minorHAnsi"/>
            <w:sz w:val="20"/>
            <w:szCs w:val="20"/>
          </w:rPr>
          <w:t>https://www.trans.ac.uk/Portals/88/TransEdu-Scotland-Report-2017.pdf?ver=2017-10-31-142716-560</w:t>
        </w:r>
      </w:hyperlink>
      <w:r w:rsidRPr="00801364">
        <w:rPr>
          <w:rFonts w:cstheme="minorHAnsi"/>
          <w:sz w:val="20"/>
          <w:szCs w:val="20"/>
        </w:rPr>
        <w:t xml:space="preserve">; </w:t>
      </w:r>
      <w:proofErr w:type="spellStart"/>
      <w:r w:rsidRPr="00801364">
        <w:rPr>
          <w:rFonts w:cstheme="minorHAnsi"/>
          <w:sz w:val="20"/>
          <w:szCs w:val="20"/>
        </w:rPr>
        <w:t>TransEdu</w:t>
      </w:r>
      <w:proofErr w:type="spellEnd"/>
      <w:r w:rsidRPr="00801364">
        <w:rPr>
          <w:rFonts w:cstheme="minorHAnsi"/>
          <w:sz w:val="20"/>
          <w:szCs w:val="20"/>
        </w:rPr>
        <w:t xml:space="preserve"> Scotland: Recommendations for the inclusion of Trans Students by Dr Stephanie </w:t>
      </w:r>
      <w:proofErr w:type="spellStart"/>
      <w:r w:rsidRPr="00801364">
        <w:rPr>
          <w:rFonts w:cstheme="minorHAnsi"/>
          <w:sz w:val="20"/>
          <w:szCs w:val="20"/>
        </w:rPr>
        <w:t>Mckendry</w:t>
      </w:r>
      <w:proofErr w:type="spellEnd"/>
      <w:r w:rsidRPr="00801364">
        <w:rPr>
          <w:rFonts w:cstheme="minorHAnsi"/>
          <w:sz w:val="20"/>
          <w:szCs w:val="20"/>
        </w:rPr>
        <w:t xml:space="preserve"> &amp; Dr Matson Lawrence (2017)</w:t>
      </w:r>
      <w:r w:rsidR="007A328E" w:rsidRPr="00801364">
        <w:rPr>
          <w:rFonts w:cstheme="minorHAnsi"/>
          <w:sz w:val="20"/>
          <w:szCs w:val="20"/>
        </w:rPr>
        <w:t xml:space="preserve"> </w:t>
      </w:r>
      <w:hyperlink r:id="rId20" w:history="1">
        <w:r w:rsidR="007A328E" w:rsidRPr="00801364">
          <w:rPr>
            <w:rStyle w:val="Hyperlink"/>
            <w:rFonts w:cstheme="minorHAnsi"/>
            <w:sz w:val="20"/>
            <w:szCs w:val="20"/>
          </w:rPr>
          <w:t>https://www.trans.ac.uk/Research/Recommendations/tabid/7223/Default.aspx</w:t>
        </w:r>
      </w:hyperlink>
    </w:p>
  </w:footnote>
  <w:footnote w:id="14">
    <w:p w14:paraId="1FA9DD12" w14:textId="77777777" w:rsidR="00DC75EF" w:rsidRPr="00801364" w:rsidRDefault="00DC75EF" w:rsidP="00801364">
      <w:pPr>
        <w:tabs>
          <w:tab w:val="left" w:pos="1574"/>
        </w:tabs>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'LGBT In Britain: University Report (2018) </w:t>
      </w:r>
      <w:hyperlink r:id="rId21" w:history="1">
        <w:r w:rsidRPr="00801364">
          <w:rPr>
            <w:rStyle w:val="Hyperlink"/>
            <w:rFonts w:cstheme="minorHAnsi"/>
            <w:sz w:val="20"/>
            <w:szCs w:val="20"/>
          </w:rPr>
          <w:t>https://www.stonewall.org.uk/system/files/lgbt_in_britain_universities_report.pdf</w:t>
        </w:r>
      </w:hyperlink>
      <w:r w:rsidRPr="00801364">
        <w:rPr>
          <w:rFonts w:cstheme="minorHAnsi"/>
          <w:sz w:val="20"/>
          <w:szCs w:val="20"/>
        </w:rPr>
        <w:t xml:space="preserve"> </w:t>
      </w:r>
    </w:p>
  </w:footnote>
  <w:footnote w:id="15">
    <w:p w14:paraId="5292C14C" w14:textId="77777777" w:rsidR="00DC75EF" w:rsidRPr="00801364" w:rsidRDefault="00DC75EF" w:rsidP="00801364">
      <w:pPr>
        <w:tabs>
          <w:tab w:val="left" w:pos="1574"/>
        </w:tabs>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UCU report: Challenging LGBT+ exclusion in UK Higher Education (May 2021) </w:t>
      </w:r>
      <w:hyperlink r:id="rId22" w:history="1">
        <w:r w:rsidRPr="00801364">
          <w:rPr>
            <w:rStyle w:val="Hyperlink"/>
            <w:rFonts w:cstheme="minorHAnsi"/>
            <w:sz w:val="20"/>
            <w:szCs w:val="20"/>
          </w:rPr>
          <w:t>https://www.ucu.org.uk/media/11495/Challenging-LGBT-exclusion-in-UK-higher-education/pdf/LGBT__exclusion_May2021.pdf</w:t>
        </w:r>
      </w:hyperlink>
      <w:r w:rsidRPr="00801364">
        <w:rPr>
          <w:rFonts w:cstheme="minorHAnsi"/>
          <w:sz w:val="20"/>
          <w:szCs w:val="20"/>
        </w:rPr>
        <w:t xml:space="preserve"> </w:t>
      </w:r>
    </w:p>
  </w:footnote>
  <w:footnote w:id="16">
    <w:p w14:paraId="60CBC065" w14:textId="7F751E3F" w:rsidR="005D7A98" w:rsidRPr="00801364" w:rsidRDefault="005D7A98" w:rsidP="00801364">
      <w:pPr>
        <w:rPr>
          <w:rFonts w:cstheme="minorHAnsi"/>
          <w:color w:val="000000" w:themeColor="text1"/>
          <w:sz w:val="20"/>
          <w:szCs w:val="20"/>
        </w:rPr>
      </w:pPr>
      <w:r w:rsidRPr="00801364">
        <w:rPr>
          <w:rStyle w:val="FootnoteReference"/>
          <w:rFonts w:cstheme="minorHAnsi"/>
          <w:sz w:val="20"/>
          <w:szCs w:val="20"/>
        </w:rPr>
        <w:footnoteRef/>
      </w:r>
      <w:r w:rsidRPr="00801364">
        <w:rPr>
          <w:rFonts w:cstheme="minorHAnsi"/>
          <w:sz w:val="20"/>
          <w:szCs w:val="20"/>
        </w:rPr>
        <w:t xml:space="preserve"> </w:t>
      </w:r>
      <w:r w:rsidRPr="00801364">
        <w:rPr>
          <w:rFonts w:cstheme="minorHAnsi"/>
          <w:color w:val="000000" w:themeColor="text1"/>
          <w:sz w:val="20"/>
          <w:szCs w:val="20"/>
        </w:rPr>
        <w:t xml:space="preserve">T. </w:t>
      </w:r>
      <w:proofErr w:type="spellStart"/>
      <w:r w:rsidRPr="00801364">
        <w:rPr>
          <w:rFonts w:cstheme="minorHAnsi"/>
          <w:color w:val="000000" w:themeColor="text1"/>
          <w:sz w:val="20"/>
          <w:szCs w:val="20"/>
        </w:rPr>
        <w:t>Zakrajsek</w:t>
      </w:r>
      <w:proofErr w:type="spellEnd"/>
      <w:r w:rsidRPr="00801364">
        <w:rPr>
          <w:rFonts w:cstheme="minorHAnsi"/>
          <w:color w:val="000000" w:themeColor="text1"/>
          <w:sz w:val="20"/>
          <w:szCs w:val="20"/>
        </w:rPr>
        <w:t xml:space="preserve">, ‘Do we need equity or equality to make things ‘fair’? Actually, we need both’, </w:t>
      </w:r>
      <w:r w:rsidRPr="00801364">
        <w:rPr>
          <w:rFonts w:cstheme="minorHAnsi"/>
          <w:i/>
          <w:iCs/>
          <w:color w:val="000000" w:themeColor="text1"/>
          <w:sz w:val="20"/>
          <w:szCs w:val="20"/>
        </w:rPr>
        <w:t>Times Higher Education</w:t>
      </w:r>
      <w:r w:rsidRPr="00801364">
        <w:rPr>
          <w:rFonts w:cstheme="minorHAnsi"/>
          <w:color w:val="000000" w:themeColor="text1"/>
          <w:sz w:val="20"/>
          <w:szCs w:val="20"/>
        </w:rPr>
        <w:t xml:space="preserve"> (2021): </w:t>
      </w:r>
      <w:hyperlink r:id="rId23" w:history="1">
        <w:r w:rsidRPr="00801364">
          <w:rPr>
            <w:rStyle w:val="Hyperlink"/>
            <w:rFonts w:cstheme="minorHAnsi"/>
            <w:sz w:val="20"/>
            <w:szCs w:val="20"/>
          </w:rPr>
          <w:t>https://www.timeshighereducation.com/campus/do-we-need-equity-or-equality-make-things-fair-actually-we-need-both</w:t>
        </w:r>
      </w:hyperlink>
    </w:p>
  </w:footnote>
  <w:footnote w:id="17">
    <w:p w14:paraId="24A43684" w14:textId="1282663D" w:rsidR="00FB1719" w:rsidRPr="00801364" w:rsidRDefault="00FB1719" w:rsidP="00801364">
      <w:pPr>
        <w:pStyle w:val="FootnoteText"/>
        <w:rPr>
          <w:rFonts w:cstheme="minorHAnsi"/>
        </w:rPr>
      </w:pPr>
      <w:r w:rsidRPr="00801364">
        <w:rPr>
          <w:rStyle w:val="FootnoteReference"/>
          <w:rFonts w:cstheme="minorHAnsi"/>
        </w:rPr>
        <w:footnoteRef/>
      </w:r>
      <w:r w:rsidRPr="00801364">
        <w:rPr>
          <w:rFonts w:cstheme="minorHAnsi"/>
        </w:rPr>
        <w:t xml:space="preserve"> </w:t>
      </w:r>
      <w:proofErr w:type="spellStart"/>
      <w:r w:rsidRPr="00801364">
        <w:rPr>
          <w:rFonts w:cstheme="minorHAnsi"/>
        </w:rPr>
        <w:t>Stentiford</w:t>
      </w:r>
      <w:proofErr w:type="spellEnd"/>
      <w:r w:rsidRPr="00801364">
        <w:rPr>
          <w:rFonts w:cstheme="minorHAnsi"/>
        </w:rPr>
        <w:t xml:space="preserve"> and </w:t>
      </w:r>
      <w:proofErr w:type="spellStart"/>
      <w:r w:rsidRPr="00801364">
        <w:rPr>
          <w:rFonts w:cstheme="minorHAnsi"/>
        </w:rPr>
        <w:t>Koutsouris</w:t>
      </w:r>
      <w:proofErr w:type="spellEnd"/>
      <w:r w:rsidRPr="00801364">
        <w:rPr>
          <w:rFonts w:cstheme="minorHAnsi"/>
        </w:rPr>
        <w:t xml:space="preserve">, ‘What are inclusive pedagogies in higher education? A systematic scoping review’, </w:t>
      </w:r>
      <w:r w:rsidRPr="00801364">
        <w:rPr>
          <w:rFonts w:cstheme="minorHAnsi"/>
          <w:i/>
          <w:iCs/>
        </w:rPr>
        <w:t>Studies in Higher Education</w:t>
      </w:r>
      <w:r w:rsidRPr="00801364">
        <w:rPr>
          <w:rFonts w:cstheme="minorHAnsi"/>
        </w:rPr>
        <w:t>, 46</w:t>
      </w:r>
      <w:r w:rsidR="00992DAD" w:rsidRPr="00801364">
        <w:rPr>
          <w:rFonts w:cstheme="minorHAnsi"/>
        </w:rPr>
        <w:t>:</w:t>
      </w:r>
      <w:r w:rsidRPr="00801364">
        <w:rPr>
          <w:rFonts w:cstheme="minorHAnsi"/>
        </w:rPr>
        <w:t xml:space="preserve">11 </w:t>
      </w:r>
      <w:r w:rsidR="00992DAD" w:rsidRPr="00801364">
        <w:rPr>
          <w:rFonts w:cstheme="minorHAnsi"/>
        </w:rPr>
        <w:t>(</w:t>
      </w:r>
      <w:r w:rsidRPr="00801364">
        <w:rPr>
          <w:rFonts w:cstheme="minorHAnsi"/>
        </w:rPr>
        <w:t>2021</w:t>
      </w:r>
      <w:r w:rsidR="00992DAD" w:rsidRPr="00801364">
        <w:rPr>
          <w:rFonts w:cstheme="minorHAnsi"/>
        </w:rPr>
        <w:t>),</w:t>
      </w:r>
      <w:r w:rsidRPr="00801364">
        <w:rPr>
          <w:rFonts w:cstheme="minorHAnsi"/>
        </w:rPr>
        <w:t xml:space="preserve"> pp. 2245-2261</w:t>
      </w:r>
      <w:r w:rsidR="00992DAD" w:rsidRPr="00801364">
        <w:rPr>
          <w:rFonts w:cstheme="minorHAnsi"/>
        </w:rPr>
        <w:t>.</w:t>
      </w:r>
    </w:p>
  </w:footnote>
  <w:footnote w:id="18">
    <w:p w14:paraId="0EB0D815" w14:textId="4F32FDB9" w:rsidR="008D2C32" w:rsidRPr="00801364" w:rsidRDefault="00DC43A8" w:rsidP="00801364">
      <w:pPr>
        <w:pStyle w:val="FootnoteText"/>
        <w:rPr>
          <w:rFonts w:cstheme="minorHAnsi"/>
          <w:color w:val="000000" w:themeColor="text1"/>
        </w:rPr>
      </w:pPr>
      <w:r w:rsidRPr="00801364">
        <w:rPr>
          <w:rStyle w:val="FootnoteReference"/>
          <w:rFonts w:cstheme="minorHAnsi"/>
        </w:rPr>
        <w:footnoteRef/>
      </w:r>
      <w:r w:rsidRPr="00801364">
        <w:rPr>
          <w:rFonts w:cstheme="minorHAnsi"/>
          <w:color w:val="000000" w:themeColor="text1"/>
        </w:rPr>
        <w:t xml:space="preserve"> </w:t>
      </w:r>
      <w:r w:rsidR="006E4A52" w:rsidRPr="00801364">
        <w:rPr>
          <w:rFonts w:cstheme="minorHAnsi"/>
          <w:color w:val="000000" w:themeColor="text1"/>
        </w:rPr>
        <w:t xml:space="preserve">For context to this see </w:t>
      </w:r>
      <w:r w:rsidR="00DD0ACE" w:rsidRPr="00801364">
        <w:rPr>
          <w:rFonts w:cstheme="minorHAnsi"/>
          <w:color w:val="000000" w:themeColor="text1"/>
        </w:rPr>
        <w:t>Advance HE report</w:t>
      </w:r>
      <w:r w:rsidR="008D2C32" w:rsidRPr="00801364">
        <w:rPr>
          <w:rFonts w:cstheme="minorHAnsi"/>
          <w:color w:val="000000" w:themeColor="text1"/>
        </w:rPr>
        <w:t xml:space="preserve">: </w:t>
      </w:r>
      <w:hyperlink r:id="rId24" w:history="1">
        <w:r w:rsidR="008D2C32" w:rsidRPr="00801364">
          <w:rPr>
            <w:rStyle w:val="Hyperlink"/>
            <w:rFonts w:cstheme="minorHAnsi"/>
          </w:rPr>
          <w:t>https://www.advance-he.ac.uk/guidance/governance/governance-and-edi/edi-challenges-higher-education/student-inequalities</w:t>
        </w:r>
      </w:hyperlink>
    </w:p>
    <w:p w14:paraId="315E4411" w14:textId="77777777" w:rsidR="008D2C32" w:rsidRPr="00801364" w:rsidRDefault="008D2C32" w:rsidP="00801364">
      <w:pPr>
        <w:pStyle w:val="FootnoteText"/>
        <w:rPr>
          <w:rFonts w:cstheme="minorHAnsi"/>
          <w:color w:val="000000" w:themeColor="text1"/>
          <w:u w:val="single"/>
        </w:rPr>
      </w:pPr>
      <w:r w:rsidRPr="00801364">
        <w:rPr>
          <w:rFonts w:cstheme="minorHAnsi"/>
          <w:color w:val="000000" w:themeColor="text1"/>
        </w:rPr>
        <w:t xml:space="preserve">And </w:t>
      </w:r>
      <w:proofErr w:type="spellStart"/>
      <w:r w:rsidRPr="00801364">
        <w:rPr>
          <w:rFonts w:cstheme="minorHAnsi"/>
          <w:color w:val="000000" w:themeColor="text1"/>
        </w:rPr>
        <w:t>OfS</w:t>
      </w:r>
      <w:proofErr w:type="spellEnd"/>
      <w:r w:rsidRPr="00801364">
        <w:rPr>
          <w:rFonts w:cstheme="minorHAnsi"/>
          <w:color w:val="000000" w:themeColor="text1"/>
        </w:rPr>
        <w:t xml:space="preserve"> report – ‘Differences in Student Outcomes (Nov 2020) </w:t>
      </w:r>
      <w:hyperlink r:id="rId25" w:history="1">
        <w:r w:rsidRPr="00801364">
          <w:rPr>
            <w:rStyle w:val="Hyperlink"/>
            <w:rFonts w:cstheme="minorHAnsi"/>
          </w:rPr>
          <w:t>https://www.officeforstudents.org.uk/media/3948d9a3-84b5-409b-8b11-760a9e94c997/differences_in_student_outcomes_further_characteristics_november_2020.pdf</w:t>
        </w:r>
      </w:hyperlink>
    </w:p>
    <w:p w14:paraId="086620FD" w14:textId="77777777" w:rsidR="008D2C32" w:rsidRPr="00801364" w:rsidRDefault="008D2C32" w:rsidP="00801364">
      <w:pPr>
        <w:pStyle w:val="FootnoteText"/>
        <w:rPr>
          <w:rFonts w:cstheme="minorHAnsi"/>
          <w:color w:val="000000" w:themeColor="text1"/>
          <w:u w:val="single"/>
        </w:rPr>
      </w:pPr>
      <w:r w:rsidRPr="00801364">
        <w:rPr>
          <w:rFonts w:cstheme="minorHAnsi"/>
          <w:color w:val="000000" w:themeColor="text1"/>
        </w:rPr>
        <w:t>‘Care leavers more likely to drop out of university’ (June 2020)</w:t>
      </w:r>
    </w:p>
    <w:p w14:paraId="510C3119" w14:textId="77777777" w:rsidR="008D2C32" w:rsidRPr="00801364" w:rsidRDefault="00000000" w:rsidP="00801364">
      <w:pPr>
        <w:pStyle w:val="FootnoteText"/>
        <w:rPr>
          <w:rFonts w:cstheme="minorHAnsi"/>
          <w:color w:val="000000" w:themeColor="text1"/>
          <w:u w:val="single"/>
        </w:rPr>
      </w:pPr>
      <w:hyperlink r:id="rId26" w:history="1">
        <w:r w:rsidR="008D2C32" w:rsidRPr="00801364">
          <w:rPr>
            <w:rStyle w:val="Hyperlink"/>
            <w:rFonts w:cstheme="minorHAnsi"/>
          </w:rPr>
          <w:t>https://www.officeforstudents.org.uk/news-blog-and-events/press-and-media/care-leavers-more-likely-to-drop-out-of-university/</w:t>
        </w:r>
      </w:hyperlink>
      <w:r w:rsidR="008D2C32" w:rsidRPr="00801364">
        <w:rPr>
          <w:rFonts w:cstheme="minorHAnsi"/>
          <w:color w:val="000000" w:themeColor="text1"/>
          <w:u w:val="single"/>
        </w:rPr>
        <w:t>;</w:t>
      </w:r>
    </w:p>
    <w:p w14:paraId="2918586A" w14:textId="2C3CADDC" w:rsidR="00DC43A8" w:rsidRPr="00801364" w:rsidRDefault="00000000" w:rsidP="00801364">
      <w:pPr>
        <w:pStyle w:val="FootnoteText"/>
        <w:rPr>
          <w:rFonts w:cstheme="minorHAnsi"/>
        </w:rPr>
      </w:pPr>
      <w:hyperlink r:id="rId27" w:history="1">
        <w:r w:rsidR="008D2C32" w:rsidRPr="00801364">
          <w:rPr>
            <w:rStyle w:val="Hyperlink"/>
            <w:rFonts w:cstheme="minorHAnsi"/>
          </w:rPr>
          <w:t>https://www.officeforstudents.org.uk/advice-and-guidance/promoting-equal-opportunities/effective-practice/black-asian-and-minority-ethnic-students/</w:t>
        </w:r>
      </w:hyperlink>
      <w:r w:rsidR="00DD0ACE" w:rsidRPr="00801364">
        <w:rPr>
          <w:rFonts w:cstheme="minorHAnsi"/>
          <w:color w:val="000000" w:themeColor="text1"/>
        </w:rPr>
        <w:t xml:space="preserve"> </w:t>
      </w:r>
    </w:p>
  </w:footnote>
  <w:footnote w:id="19">
    <w:p w14:paraId="3B87A279" w14:textId="0C0CB83C" w:rsidR="00FE6E56" w:rsidRPr="00801364" w:rsidRDefault="00FE6E56" w:rsidP="00801364">
      <w:pPr>
        <w:pStyle w:val="FootnoteText"/>
        <w:rPr>
          <w:rFonts w:cstheme="minorHAnsi"/>
        </w:rPr>
      </w:pPr>
      <w:r w:rsidRPr="00801364">
        <w:rPr>
          <w:rStyle w:val="FootnoteReference"/>
          <w:rFonts w:cstheme="minorHAnsi"/>
        </w:rPr>
        <w:footnoteRef/>
      </w:r>
      <w:r w:rsidRPr="00801364">
        <w:rPr>
          <w:rFonts w:cstheme="minorHAnsi"/>
        </w:rPr>
        <w:t xml:space="preserve"> </w:t>
      </w:r>
      <w:proofErr w:type="spellStart"/>
      <w:r w:rsidRPr="00801364">
        <w:rPr>
          <w:rFonts w:cstheme="minorHAnsi"/>
        </w:rPr>
        <w:t>OfS</w:t>
      </w:r>
      <w:proofErr w:type="spellEnd"/>
      <w:r w:rsidRPr="00801364">
        <w:rPr>
          <w:rFonts w:cstheme="minorHAnsi"/>
        </w:rPr>
        <w:t xml:space="preserve">, Access and Participation Plans: </w:t>
      </w:r>
      <w:hyperlink r:id="rId28" w:history="1">
        <w:r w:rsidRPr="00801364">
          <w:rPr>
            <w:rStyle w:val="Hyperlink"/>
            <w:rFonts w:cstheme="minorHAnsi"/>
          </w:rPr>
          <w:t>https://www.officeforstudents.org.uk/advice-and-guidance/promoting-equal-opportunities/access-and-participation-plans/</w:t>
        </w:r>
      </w:hyperlink>
      <w:r w:rsidRPr="00801364">
        <w:rPr>
          <w:rFonts w:cstheme="minorHAnsi"/>
        </w:rPr>
        <w:t xml:space="preserve"> </w:t>
      </w:r>
    </w:p>
  </w:footnote>
  <w:footnote w:id="20">
    <w:p w14:paraId="6D59C822" w14:textId="438F2DCB" w:rsidR="00B74C99" w:rsidRPr="00801364" w:rsidRDefault="00B74C99" w:rsidP="00801364">
      <w:pPr>
        <w:pStyle w:val="FootnoteText"/>
        <w:rPr>
          <w:rFonts w:cstheme="minorHAnsi"/>
        </w:rPr>
      </w:pPr>
      <w:r w:rsidRPr="00801364">
        <w:rPr>
          <w:rStyle w:val="FootnoteReference"/>
          <w:rFonts w:cstheme="minorHAnsi"/>
        </w:rPr>
        <w:footnoteRef/>
      </w:r>
      <w:r w:rsidRPr="00801364">
        <w:rPr>
          <w:rFonts w:cstheme="minorHAnsi"/>
        </w:rPr>
        <w:t xml:space="preserve"> </w:t>
      </w:r>
      <w:r w:rsidR="0066648E" w:rsidRPr="00801364">
        <w:rPr>
          <w:rFonts w:cstheme="minorHAnsi"/>
        </w:rPr>
        <w:t xml:space="preserve">Quote from Whittaker in chapter by </w:t>
      </w:r>
      <w:r w:rsidRPr="00801364">
        <w:rPr>
          <w:rFonts w:cstheme="minorHAnsi"/>
        </w:rPr>
        <w:t xml:space="preserve">R. Whittaker and S. Broadhead, ‘Disaggregating the Black Student Experience’, in Broadhead (ed), </w:t>
      </w:r>
      <w:r w:rsidRPr="00801364">
        <w:rPr>
          <w:rFonts w:cstheme="minorHAnsi"/>
          <w:i/>
          <w:iCs/>
        </w:rPr>
        <w:t>Access and Widening Participation in Arts Higher Education</w:t>
      </w:r>
      <w:r w:rsidRPr="00801364">
        <w:rPr>
          <w:rFonts w:cstheme="minorHAnsi"/>
        </w:rPr>
        <w:t xml:space="preserve"> (2022), pp. 51-72.</w:t>
      </w:r>
    </w:p>
  </w:footnote>
  <w:footnote w:id="21">
    <w:p w14:paraId="56486DD7" w14:textId="1DC636F8" w:rsidR="001C208F" w:rsidRPr="00801364" w:rsidRDefault="001C208F" w:rsidP="00801364">
      <w:pPr>
        <w:pStyle w:val="FootnoteText"/>
        <w:rPr>
          <w:rFonts w:cstheme="minorHAnsi"/>
        </w:rPr>
      </w:pPr>
      <w:r w:rsidRPr="00801364">
        <w:rPr>
          <w:rStyle w:val="FootnoteReference"/>
          <w:rFonts w:cstheme="minorHAnsi"/>
        </w:rPr>
        <w:footnoteRef/>
      </w:r>
      <w:r w:rsidRPr="00801364">
        <w:rPr>
          <w:rFonts w:cstheme="minorHAnsi"/>
        </w:rPr>
        <w:t xml:space="preserve"> For more on this theme see, D.W. Thompson, ‘Widening participation research and practice in the United Kingdom on the twentieth anniversary of the Dearing report, reflections on a changing landscape’, </w:t>
      </w:r>
      <w:r w:rsidRPr="00801364">
        <w:rPr>
          <w:rFonts w:cstheme="minorHAnsi"/>
          <w:i/>
          <w:iCs/>
        </w:rPr>
        <w:t>Educational Review</w:t>
      </w:r>
      <w:r w:rsidRPr="00801364">
        <w:rPr>
          <w:rFonts w:cstheme="minorHAnsi"/>
        </w:rPr>
        <w:t>, 71:2 (2019), 182-197.</w:t>
      </w:r>
    </w:p>
  </w:footnote>
  <w:footnote w:id="22">
    <w:p w14:paraId="7BF400BE" w14:textId="45155C01" w:rsidR="00E13830" w:rsidRPr="00801364" w:rsidRDefault="00E13830" w:rsidP="00801364">
      <w:pPr>
        <w:pStyle w:val="FootnoteText"/>
        <w:rPr>
          <w:rFonts w:cstheme="minorHAnsi"/>
        </w:rPr>
      </w:pPr>
      <w:r w:rsidRPr="00801364">
        <w:rPr>
          <w:rStyle w:val="FootnoteReference"/>
          <w:rFonts w:cstheme="minorHAnsi"/>
        </w:rPr>
        <w:footnoteRef/>
      </w:r>
      <w:r w:rsidRPr="00801364">
        <w:rPr>
          <w:rFonts w:cstheme="minorHAnsi"/>
        </w:rPr>
        <w:t xml:space="preserve"> For context on this wider issue see Robbie </w:t>
      </w:r>
      <w:proofErr w:type="spellStart"/>
      <w:r w:rsidRPr="00801364">
        <w:rPr>
          <w:rFonts w:cstheme="minorHAnsi"/>
        </w:rPr>
        <w:t>Shilliam</w:t>
      </w:r>
      <w:proofErr w:type="spellEnd"/>
      <w:r w:rsidRPr="00801364">
        <w:rPr>
          <w:rFonts w:cstheme="minorHAnsi"/>
        </w:rPr>
        <w:t xml:space="preserve">, ‘Black Academia in Britain’, 28 July 2014, </w:t>
      </w:r>
      <w:hyperlink r:id="rId29" w:history="1">
        <w:r w:rsidRPr="00801364">
          <w:rPr>
            <w:rStyle w:val="Hyperlink"/>
            <w:rFonts w:cstheme="minorHAnsi"/>
          </w:rPr>
          <w:t>https://thedisorderofthings.com/2014/07/28/black-academia-in-britain/</w:t>
        </w:r>
      </w:hyperlink>
      <w:r w:rsidRPr="00801364">
        <w:rPr>
          <w:rFonts w:cstheme="minorHAnsi"/>
        </w:rPr>
        <w:t xml:space="preserve">; Jason </w:t>
      </w:r>
      <w:proofErr w:type="spellStart"/>
      <w:r w:rsidRPr="00801364">
        <w:rPr>
          <w:rFonts w:cstheme="minorHAnsi"/>
        </w:rPr>
        <w:t>Arday</w:t>
      </w:r>
      <w:proofErr w:type="spellEnd"/>
      <w:r w:rsidRPr="00801364">
        <w:rPr>
          <w:rFonts w:cstheme="minorHAnsi"/>
        </w:rPr>
        <w:t xml:space="preserve">, ‘Exploring black and minority ethnic (BME) doctoral students’ perceptions of an academic career’, June 2017, </w:t>
      </w:r>
      <w:hyperlink r:id="rId30" w:history="1">
        <w:r w:rsidRPr="00801364">
          <w:rPr>
            <w:rStyle w:val="Hyperlink"/>
            <w:rFonts w:cstheme="minorHAnsi"/>
          </w:rPr>
          <w:t>https://www.ucu.org.uk/media/8633/BME-doctoral-students-perceptions-of-an-academic-career/pdf/JA_BME_doc_students_report_Jun17.pdf</w:t>
        </w:r>
      </w:hyperlink>
      <w:r w:rsidRPr="00801364">
        <w:rPr>
          <w:rFonts w:cstheme="minorHAnsi"/>
        </w:rPr>
        <w:t xml:space="preserve">; Daniel </w:t>
      </w:r>
      <w:proofErr w:type="spellStart"/>
      <w:r w:rsidRPr="00801364">
        <w:rPr>
          <w:rFonts w:cstheme="minorHAnsi"/>
        </w:rPr>
        <w:t>Akinbosede</w:t>
      </w:r>
      <w:proofErr w:type="spellEnd"/>
      <w:r w:rsidRPr="00801364">
        <w:rPr>
          <w:rFonts w:cstheme="minorHAnsi"/>
        </w:rPr>
        <w:t xml:space="preserve">, ‘Recruiting more Black PhD students isn’t so hard if you really want to do it’, Times Higher Education, 30 March 2021, </w:t>
      </w:r>
      <w:hyperlink r:id="rId31" w:history="1">
        <w:r w:rsidRPr="00801364">
          <w:rPr>
            <w:rStyle w:val="Hyperlink"/>
            <w:rFonts w:cstheme="minorHAnsi"/>
          </w:rPr>
          <w:t>https://www.timeshighereducation.com/blog/recruiting-more-black-phd-students-isnt-so-hard-if-you-really-want-do-it</w:t>
        </w:r>
      </w:hyperlink>
      <w:r w:rsidRPr="00801364">
        <w:rPr>
          <w:rFonts w:cstheme="minorHAnsi"/>
        </w:rPr>
        <w:t>.</w:t>
      </w:r>
    </w:p>
  </w:footnote>
  <w:footnote w:id="23">
    <w:p w14:paraId="095DC119" w14:textId="1D966D83" w:rsidR="00F31A1D" w:rsidRPr="00801364" w:rsidRDefault="00F31A1D" w:rsidP="00801364">
      <w:pPr>
        <w:pStyle w:val="FootnoteText"/>
        <w:rPr>
          <w:rFonts w:cstheme="minorHAnsi"/>
        </w:rPr>
      </w:pPr>
      <w:r w:rsidRPr="00801364">
        <w:rPr>
          <w:rStyle w:val="FootnoteReference"/>
          <w:rFonts w:cstheme="minorHAnsi"/>
        </w:rPr>
        <w:footnoteRef/>
      </w:r>
      <w:r w:rsidRPr="00801364">
        <w:rPr>
          <w:rFonts w:cstheme="minorHAnsi"/>
        </w:rPr>
        <w:t xml:space="preserve"> Roger Pizarro </w:t>
      </w:r>
      <w:proofErr w:type="spellStart"/>
      <w:r w:rsidRPr="00801364">
        <w:rPr>
          <w:rFonts w:cstheme="minorHAnsi"/>
        </w:rPr>
        <w:t>Milian</w:t>
      </w:r>
      <w:proofErr w:type="spellEnd"/>
      <w:r w:rsidRPr="00801364">
        <w:rPr>
          <w:rFonts w:cstheme="minorHAnsi"/>
        </w:rPr>
        <w:t xml:space="preserve"> and Rochelle </w:t>
      </w:r>
      <w:proofErr w:type="spellStart"/>
      <w:r w:rsidRPr="00801364">
        <w:rPr>
          <w:rFonts w:cstheme="minorHAnsi"/>
        </w:rPr>
        <w:t>Wijesingha</w:t>
      </w:r>
      <w:proofErr w:type="spellEnd"/>
      <w:r w:rsidRPr="00801364">
        <w:rPr>
          <w:rFonts w:cstheme="minorHAnsi"/>
        </w:rPr>
        <w:t xml:space="preserve">, ‘Why do EDI policies fail? An inhabited institutions perspective’, </w:t>
      </w:r>
      <w:r w:rsidRPr="00801364">
        <w:rPr>
          <w:rFonts w:cstheme="minorHAnsi"/>
          <w:i/>
          <w:iCs/>
        </w:rPr>
        <w:t xml:space="preserve">Equality, </w:t>
      </w:r>
      <w:proofErr w:type="gramStart"/>
      <w:r w:rsidRPr="00801364">
        <w:rPr>
          <w:rFonts w:cstheme="minorHAnsi"/>
          <w:i/>
          <w:iCs/>
        </w:rPr>
        <w:t>Diversity</w:t>
      </w:r>
      <w:proofErr w:type="gramEnd"/>
      <w:r w:rsidRPr="00801364">
        <w:rPr>
          <w:rFonts w:cstheme="minorHAnsi"/>
          <w:i/>
          <w:iCs/>
        </w:rPr>
        <w:t xml:space="preserve"> and Inclusion</w:t>
      </w:r>
      <w:r w:rsidRPr="00801364">
        <w:rPr>
          <w:rFonts w:cstheme="minorHAnsi"/>
        </w:rPr>
        <w:t xml:space="preserve">, 42:3 (2023), 449-64; Michael F.J. Fox, Camille </w:t>
      </w:r>
      <w:proofErr w:type="spellStart"/>
      <w:r w:rsidRPr="00801364">
        <w:rPr>
          <w:rFonts w:cstheme="minorHAnsi"/>
        </w:rPr>
        <w:t>Kandiko</w:t>
      </w:r>
      <w:proofErr w:type="spellEnd"/>
      <w:r w:rsidRPr="00801364">
        <w:rPr>
          <w:rFonts w:cstheme="minorHAnsi"/>
        </w:rPr>
        <w:t xml:space="preserve"> Howson and Martyn Kingsbury, ‘Equity, diversity and inclusion – does social justice from the top trickle down?’ </w:t>
      </w:r>
      <w:r w:rsidRPr="00801364">
        <w:rPr>
          <w:rFonts w:cstheme="minorHAnsi"/>
          <w:i/>
          <w:iCs/>
        </w:rPr>
        <w:t>Journal of Further and Higher Education</w:t>
      </w:r>
      <w:r w:rsidRPr="00801364">
        <w:rPr>
          <w:rFonts w:cstheme="minorHAnsi"/>
        </w:rPr>
        <w:t>, 47:6 (2023), 850-61.</w:t>
      </w:r>
    </w:p>
  </w:footnote>
  <w:footnote w:id="24">
    <w:p w14:paraId="29DC2E2D" w14:textId="77777777" w:rsidR="00EF783C" w:rsidRPr="00801364" w:rsidRDefault="00EF783C" w:rsidP="00801364">
      <w:pPr>
        <w:pStyle w:val="FootnoteText"/>
        <w:rPr>
          <w:rFonts w:cstheme="minorHAnsi"/>
        </w:rPr>
      </w:pPr>
      <w:r w:rsidRPr="00801364">
        <w:rPr>
          <w:rStyle w:val="FootnoteReference"/>
          <w:rFonts w:cstheme="minorHAnsi"/>
        </w:rPr>
        <w:footnoteRef/>
      </w:r>
      <w:r w:rsidRPr="00801364">
        <w:rPr>
          <w:rFonts w:cstheme="minorHAnsi"/>
        </w:rPr>
        <w:t xml:space="preserve"> See for example, J.C. Shin and J. Jung, ‘Academics job satisfaction and job stress across countries in the changing academic environments’, </w:t>
      </w:r>
      <w:r w:rsidRPr="00801364">
        <w:rPr>
          <w:rFonts w:cstheme="minorHAnsi"/>
          <w:i/>
        </w:rPr>
        <w:t>Higher Education</w:t>
      </w:r>
      <w:r w:rsidRPr="00801364">
        <w:rPr>
          <w:rFonts w:cstheme="minorHAnsi"/>
        </w:rPr>
        <w:t xml:space="preserve">, 67(5), 2014, 603-620. </w:t>
      </w:r>
      <w:hyperlink r:id="rId32" w:history="1">
        <w:r w:rsidRPr="00801364">
          <w:rPr>
            <w:rStyle w:val="Hyperlink"/>
            <w:rFonts w:cstheme="minorHAnsi"/>
          </w:rPr>
          <w:t>https://doi.org/10.1007/s10734-013-9668-y</w:t>
        </w:r>
      </w:hyperlink>
      <w:r w:rsidRPr="00801364">
        <w:rPr>
          <w:rFonts w:cstheme="minorHAnsi"/>
        </w:rPr>
        <w:t xml:space="preserve">; M. Y. </w:t>
      </w:r>
      <w:proofErr w:type="spellStart"/>
      <w:r w:rsidRPr="00801364">
        <w:rPr>
          <w:rFonts w:cstheme="minorHAnsi"/>
        </w:rPr>
        <w:t>Tytherleigh</w:t>
      </w:r>
      <w:proofErr w:type="spellEnd"/>
      <w:r w:rsidRPr="00801364">
        <w:rPr>
          <w:rFonts w:cstheme="minorHAnsi"/>
        </w:rPr>
        <w:t xml:space="preserve">, C.  Webb, L. C. Cooper and C. Ricketts, Occupational stress in UK higher education institutions: A comparative study of all staff categories. Higher Education Research &amp; Development, 24(1), 2007, 41-61. </w:t>
      </w:r>
      <w:hyperlink r:id="rId33" w:history="1">
        <w:r w:rsidRPr="00801364">
          <w:rPr>
            <w:rStyle w:val="Hyperlink"/>
            <w:rFonts w:cstheme="minorHAnsi"/>
          </w:rPr>
          <w:t>https://doi.org/10.1080/0729436052000318569</w:t>
        </w:r>
      </w:hyperlink>
      <w:r w:rsidRPr="00801364">
        <w:rPr>
          <w:rFonts w:cstheme="minorHAnsi"/>
        </w:rPr>
        <w:t xml:space="preserve">; G. </w:t>
      </w:r>
      <w:proofErr w:type="spellStart"/>
      <w:r w:rsidRPr="00801364">
        <w:rPr>
          <w:rFonts w:cstheme="minorHAnsi"/>
        </w:rPr>
        <w:t>Kinman</w:t>
      </w:r>
      <w:proofErr w:type="spellEnd"/>
      <w:r w:rsidRPr="00801364">
        <w:rPr>
          <w:rFonts w:cstheme="minorHAnsi"/>
        </w:rPr>
        <w:t xml:space="preserve">, ‘Doing more with less? Work and wellbeing in academics’, </w:t>
      </w:r>
      <w:proofErr w:type="spellStart"/>
      <w:r w:rsidRPr="00801364">
        <w:rPr>
          <w:rFonts w:cstheme="minorHAnsi"/>
          <w:i/>
        </w:rPr>
        <w:t>Somatechnics</w:t>
      </w:r>
      <w:proofErr w:type="spellEnd"/>
      <w:r w:rsidRPr="00801364">
        <w:rPr>
          <w:rFonts w:cstheme="minorHAnsi"/>
        </w:rPr>
        <w:t xml:space="preserve">, 4, 2014, 219-235. </w:t>
      </w:r>
      <w:hyperlink r:id="rId34" w:history="1">
        <w:r w:rsidRPr="00801364">
          <w:rPr>
            <w:rStyle w:val="Hyperlink"/>
            <w:rFonts w:cstheme="minorHAnsi"/>
          </w:rPr>
          <w:t>https://doi.org/10.3366/soma.2014.0129</w:t>
        </w:r>
      </w:hyperlink>
      <w:r w:rsidRPr="00801364">
        <w:rPr>
          <w:rFonts w:cstheme="minorHAnsi"/>
        </w:rPr>
        <w:t xml:space="preserve">; G. </w:t>
      </w:r>
      <w:proofErr w:type="spellStart"/>
      <w:r w:rsidRPr="00801364">
        <w:rPr>
          <w:rFonts w:cstheme="minorHAnsi"/>
        </w:rPr>
        <w:t>Kinman</w:t>
      </w:r>
      <w:proofErr w:type="spellEnd"/>
      <w:r w:rsidRPr="00801364">
        <w:rPr>
          <w:rFonts w:cstheme="minorHAnsi"/>
        </w:rPr>
        <w:t xml:space="preserve"> and S. Wray, Higher stress: A survey of stress and well-being among staff in higher education. University and College Union (UCU), 2013, </w:t>
      </w:r>
      <w:hyperlink r:id="rId35" w:history="1">
        <w:r w:rsidRPr="00801364">
          <w:rPr>
            <w:rStyle w:val="Hyperlink"/>
            <w:rFonts w:cstheme="minorHAnsi"/>
          </w:rPr>
          <w:t>https://www.ucu.org.uk/media/5911/Higher-stress-a-survey-of-stress-and-well-beingamong-staff-in-higher-education-Jul-13/pdf/HE_stress_report_July_2013.pdf</w:t>
        </w:r>
      </w:hyperlink>
      <w:r w:rsidRPr="00801364">
        <w:rPr>
          <w:rFonts w:cstheme="minorHAnsi"/>
        </w:rPr>
        <w:t xml:space="preserve">  .   </w:t>
      </w:r>
    </w:p>
  </w:footnote>
  <w:footnote w:id="25">
    <w:p w14:paraId="649BE6B6" w14:textId="77777777" w:rsidR="00EF783C" w:rsidRPr="00801364" w:rsidRDefault="00EF783C" w:rsidP="00801364">
      <w:pPr>
        <w:pStyle w:val="FootnoteText"/>
        <w:rPr>
          <w:rFonts w:cstheme="minorHAnsi"/>
        </w:rPr>
      </w:pPr>
      <w:r w:rsidRPr="00801364">
        <w:rPr>
          <w:rStyle w:val="FootnoteReference"/>
          <w:rFonts w:cstheme="minorHAnsi"/>
        </w:rPr>
        <w:footnoteRef/>
      </w:r>
      <w:r w:rsidRPr="00801364">
        <w:rPr>
          <w:rFonts w:cstheme="minorHAnsi"/>
        </w:rPr>
        <w:t xml:space="preserve"> P. Barrett and L. Barrett, </w:t>
      </w:r>
      <w:r w:rsidRPr="00801364">
        <w:rPr>
          <w:rFonts w:cstheme="minorHAnsi"/>
          <w:i/>
        </w:rPr>
        <w:t>The Management of Academic Workloads</w:t>
      </w:r>
      <w:r w:rsidRPr="00801364">
        <w:rPr>
          <w:rFonts w:cstheme="minorHAnsi"/>
        </w:rPr>
        <w:t>. Summary Report, Research and Development Series, The Leadership Foundation for Higher Education, January 2007, p.4.</w:t>
      </w:r>
    </w:p>
  </w:footnote>
  <w:footnote w:id="26">
    <w:p w14:paraId="4BEEC183" w14:textId="77777777" w:rsidR="00EF783C" w:rsidRPr="00801364" w:rsidRDefault="00EF783C" w:rsidP="00801364">
      <w:pPr>
        <w:pStyle w:val="FootnoteText"/>
        <w:rPr>
          <w:rFonts w:cstheme="minorHAnsi"/>
        </w:rPr>
      </w:pPr>
      <w:r w:rsidRPr="00801364">
        <w:rPr>
          <w:rStyle w:val="FootnoteReference"/>
          <w:rFonts w:cstheme="minorHAnsi"/>
        </w:rPr>
        <w:footnoteRef/>
      </w:r>
      <w:r w:rsidRPr="00801364">
        <w:rPr>
          <w:rFonts w:cstheme="minorHAnsi"/>
        </w:rPr>
        <w:t xml:space="preserve"> There is an interesting summary of the history of the academic workload model in D. </w:t>
      </w:r>
      <w:proofErr w:type="spellStart"/>
      <w:r w:rsidRPr="00801364">
        <w:rPr>
          <w:rFonts w:cstheme="minorHAnsi"/>
        </w:rPr>
        <w:t>Kernohan</w:t>
      </w:r>
      <w:proofErr w:type="spellEnd"/>
      <w:r w:rsidRPr="00801364">
        <w:rPr>
          <w:rFonts w:cstheme="minorHAnsi"/>
        </w:rPr>
        <w:t xml:space="preserve">, ‘A Beginner’s Guide to Academic Workload Modelling’, 01/01/2023, </w:t>
      </w:r>
      <w:hyperlink r:id="rId36" w:history="1">
        <w:r w:rsidRPr="00801364">
          <w:rPr>
            <w:rStyle w:val="Hyperlink"/>
            <w:rFonts w:cstheme="minorHAnsi"/>
          </w:rPr>
          <w:t>https://wonkhe.com/blogs/a-beginners-guide-to-academic-workload-modelling/</w:t>
        </w:r>
      </w:hyperlink>
      <w:r w:rsidRPr="00801364">
        <w:rPr>
          <w:rFonts w:cstheme="minorHAnsi"/>
        </w:rPr>
        <w:t xml:space="preserve"> </w:t>
      </w:r>
    </w:p>
  </w:footnote>
  <w:footnote w:id="27">
    <w:p w14:paraId="21829FED" w14:textId="77777777" w:rsidR="00EF783C" w:rsidRPr="00801364" w:rsidRDefault="00EF783C" w:rsidP="00801364">
      <w:pPr>
        <w:pStyle w:val="FootnoteText"/>
        <w:rPr>
          <w:rFonts w:cstheme="minorHAnsi"/>
        </w:rPr>
      </w:pPr>
      <w:r w:rsidRPr="00801364">
        <w:rPr>
          <w:rStyle w:val="FootnoteReference"/>
          <w:rFonts w:cstheme="minorHAnsi"/>
        </w:rPr>
        <w:footnoteRef/>
      </w:r>
      <w:r w:rsidRPr="00801364">
        <w:rPr>
          <w:rFonts w:cstheme="minorHAnsi"/>
        </w:rPr>
        <w:t xml:space="preserve"> The Sustainability of Learning and Teaching in Higher Education in England, Financial Sustainability Strategy Group, March 2015, </w:t>
      </w:r>
      <w:hyperlink r:id="rId37" w:history="1">
        <w:r w:rsidRPr="00801364">
          <w:rPr>
            <w:rStyle w:val="Hyperlink"/>
            <w:rFonts w:cstheme="minorHAnsi"/>
          </w:rPr>
          <w:t>https://webarchive.nationalarchives.gov.uk/ukgwa/20180319130312/http://www.hefce.ac.uk/funding/finsustain/pubs/Sustainability,of,Learning,and,Teaching,2015/</w:t>
        </w:r>
      </w:hyperlink>
      <w:r w:rsidRPr="00801364">
        <w:rPr>
          <w:rFonts w:cstheme="minorHAnsi"/>
        </w:rPr>
        <w:t xml:space="preserve"> </w:t>
      </w:r>
    </w:p>
  </w:footnote>
  <w:footnote w:id="28">
    <w:p w14:paraId="2B3DF8B4" w14:textId="2FF9D294" w:rsidR="00EF783C" w:rsidRPr="00801364" w:rsidRDefault="00EF783C" w:rsidP="00801364">
      <w:pPr>
        <w:pStyle w:val="FootnoteText"/>
        <w:rPr>
          <w:rFonts w:cstheme="minorHAnsi"/>
        </w:rPr>
      </w:pPr>
      <w:r w:rsidRPr="00801364">
        <w:rPr>
          <w:rStyle w:val="FootnoteReference"/>
          <w:rFonts w:cstheme="minorHAnsi"/>
        </w:rPr>
        <w:footnoteRef/>
      </w:r>
      <w:r w:rsidRPr="00801364">
        <w:rPr>
          <w:rFonts w:cstheme="minorHAnsi"/>
        </w:rPr>
        <w:t xml:space="preserve"> I. </w:t>
      </w:r>
      <w:proofErr w:type="spellStart"/>
      <w:r w:rsidRPr="00801364">
        <w:rPr>
          <w:rFonts w:cstheme="minorHAnsi"/>
        </w:rPr>
        <w:t>Dougall</w:t>
      </w:r>
      <w:proofErr w:type="spellEnd"/>
      <w:r w:rsidRPr="00801364">
        <w:rPr>
          <w:rFonts w:cstheme="minorHAnsi"/>
        </w:rPr>
        <w:t xml:space="preserve">, M. Weick and M. Vasiljevic, </w:t>
      </w:r>
      <w:r w:rsidRPr="00801364">
        <w:rPr>
          <w:rFonts w:cstheme="minorHAnsi"/>
          <w:i/>
          <w:iCs/>
        </w:rPr>
        <w:t>Inside UK Universities: Staff Mental Health and Wellbeing during the Coronavirus Pandemic, report</w:t>
      </w:r>
      <w:r w:rsidRPr="00801364">
        <w:rPr>
          <w:rFonts w:cstheme="minorHAnsi"/>
        </w:rPr>
        <w:t xml:space="preserve"> </w:t>
      </w:r>
      <w:r w:rsidR="00101354" w:rsidRPr="00801364">
        <w:rPr>
          <w:rFonts w:cstheme="minorHAnsi"/>
        </w:rPr>
        <w:t>(</w:t>
      </w:r>
      <w:r w:rsidRPr="00801364">
        <w:rPr>
          <w:rFonts w:cstheme="minorHAnsi"/>
        </w:rPr>
        <w:t>Durham University, June 2021</w:t>
      </w:r>
      <w:r w:rsidR="00101354" w:rsidRPr="00801364">
        <w:rPr>
          <w:rFonts w:cstheme="minorHAnsi"/>
        </w:rPr>
        <w:t>)</w:t>
      </w:r>
      <w:r w:rsidRPr="00801364">
        <w:rPr>
          <w:rFonts w:cstheme="minorHAnsi"/>
        </w:rPr>
        <w:t xml:space="preserve">, </w:t>
      </w:r>
      <w:hyperlink r:id="rId38" w:history="1">
        <w:r w:rsidRPr="00801364">
          <w:rPr>
            <w:rStyle w:val="Hyperlink"/>
            <w:rFonts w:cstheme="minorHAnsi"/>
          </w:rPr>
          <w:t>https://durham-repository.worktribe.com/output/1634263/inside-uk-universities-staff-mental-health-and-wellbeing-during-the-coronavirus-pandemic</w:t>
        </w:r>
      </w:hyperlink>
      <w:r w:rsidRPr="00801364">
        <w:rPr>
          <w:rFonts w:cstheme="minorHAnsi"/>
        </w:rPr>
        <w:t xml:space="preserve"> </w:t>
      </w:r>
    </w:p>
  </w:footnote>
  <w:footnote w:id="29">
    <w:p w14:paraId="037ACE50" w14:textId="77777777" w:rsidR="00EF783C" w:rsidRPr="00801364" w:rsidRDefault="00EF783C" w:rsidP="00801364">
      <w:pPr>
        <w:pStyle w:val="FootnoteText"/>
        <w:rPr>
          <w:rFonts w:cstheme="minorHAnsi"/>
        </w:rPr>
      </w:pPr>
      <w:r w:rsidRPr="00801364">
        <w:rPr>
          <w:rStyle w:val="FootnoteReference"/>
          <w:rFonts w:cstheme="minorHAnsi"/>
        </w:rPr>
        <w:footnoteRef/>
      </w:r>
      <w:r w:rsidRPr="00801364">
        <w:rPr>
          <w:rFonts w:cstheme="minorHAnsi"/>
        </w:rPr>
        <w:t xml:space="preserve"> S. Wray and G. </w:t>
      </w:r>
      <w:proofErr w:type="spellStart"/>
      <w:r w:rsidRPr="00801364">
        <w:rPr>
          <w:rFonts w:cstheme="minorHAnsi"/>
        </w:rPr>
        <w:t>Kinman</w:t>
      </w:r>
      <w:proofErr w:type="spellEnd"/>
      <w:r w:rsidRPr="00801364">
        <w:rPr>
          <w:rFonts w:cstheme="minorHAnsi"/>
        </w:rPr>
        <w:t xml:space="preserve">, </w:t>
      </w:r>
      <w:r w:rsidRPr="00801364">
        <w:rPr>
          <w:rFonts w:cstheme="minorHAnsi"/>
          <w:i/>
        </w:rPr>
        <w:t>Supporting Staff Wellbeing in Higher Education</w:t>
      </w:r>
      <w:r w:rsidRPr="00801364">
        <w:rPr>
          <w:rFonts w:cstheme="minorHAnsi"/>
        </w:rPr>
        <w:t xml:space="preserve">, Education Support, 2021, </w:t>
      </w:r>
      <w:hyperlink r:id="rId39" w:history="1">
        <w:r w:rsidRPr="00801364">
          <w:rPr>
            <w:rStyle w:val="Hyperlink"/>
            <w:rFonts w:cstheme="minorHAnsi"/>
          </w:rPr>
          <w:t>https://www.educationsupport.org.uk/media/x4jdvxpl/es-supporting-staff-wellbeing-in-he-report.pdf</w:t>
        </w:r>
      </w:hyperlink>
      <w:r w:rsidRPr="00801364">
        <w:rPr>
          <w:rFonts w:cstheme="minorHAnsi"/>
        </w:rPr>
        <w:t xml:space="preserve">. </w:t>
      </w:r>
    </w:p>
  </w:footnote>
  <w:footnote w:id="30">
    <w:p w14:paraId="2940ED9F" w14:textId="77777777" w:rsidR="00F9213E" w:rsidRPr="00801364" w:rsidRDefault="00F9213E" w:rsidP="00801364">
      <w:pPr>
        <w:pStyle w:val="FootnoteText"/>
        <w:rPr>
          <w:rFonts w:cstheme="minorHAnsi"/>
        </w:rPr>
      </w:pPr>
      <w:r w:rsidRPr="00801364">
        <w:rPr>
          <w:rStyle w:val="FootnoteReference"/>
          <w:rFonts w:cstheme="minorHAnsi"/>
        </w:rPr>
        <w:footnoteRef/>
      </w:r>
      <w:r w:rsidRPr="00801364">
        <w:rPr>
          <w:rFonts w:cstheme="minorHAnsi"/>
        </w:rPr>
        <w:t xml:space="preserve"> </w:t>
      </w:r>
      <w:proofErr w:type="spellStart"/>
      <w:r w:rsidRPr="00801364">
        <w:rPr>
          <w:rFonts w:cstheme="minorHAnsi"/>
        </w:rPr>
        <w:t>Manvir</w:t>
      </w:r>
      <w:proofErr w:type="spellEnd"/>
      <w:r w:rsidRPr="00801364">
        <w:rPr>
          <w:rFonts w:cstheme="minorHAnsi"/>
        </w:rPr>
        <w:t xml:space="preserve"> Grewal, ‘There are so many reasons why EDI is not the answer', </w:t>
      </w:r>
      <w:r w:rsidRPr="00801364">
        <w:rPr>
          <w:rFonts w:cstheme="minorHAnsi"/>
          <w:i/>
          <w:iCs/>
        </w:rPr>
        <w:t>The Times Higher Education</w:t>
      </w:r>
      <w:r w:rsidRPr="00801364">
        <w:rPr>
          <w:rFonts w:cstheme="minorHAnsi"/>
        </w:rPr>
        <w:t xml:space="preserve"> (Sept 2021) </w:t>
      </w:r>
      <w:hyperlink r:id="rId40" w:history="1">
        <w:r w:rsidRPr="00801364">
          <w:rPr>
            <w:rStyle w:val="Hyperlink"/>
            <w:rFonts w:cstheme="minorHAnsi"/>
          </w:rPr>
          <w:t>https://www.timeshighereducation.com/campus/there-are-so-many-reasons-why-edi-not-answer</w:t>
        </w:r>
      </w:hyperlink>
      <w:r w:rsidRPr="00801364">
        <w:rPr>
          <w:rFonts w:cstheme="minorHAnsi"/>
        </w:rPr>
        <w:t>.</w:t>
      </w:r>
    </w:p>
  </w:footnote>
  <w:footnote w:id="31">
    <w:p w14:paraId="3AE8C1BB" w14:textId="77777777" w:rsidR="00F9213E" w:rsidRPr="00801364" w:rsidRDefault="00F9213E" w:rsidP="00801364">
      <w:pPr>
        <w:tabs>
          <w:tab w:val="left" w:pos="1574"/>
        </w:tabs>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S. Ahmed, 'Rocking the Boat: Women of Colour as Diversity Workers' in Dismantling Race in Higher Education: Racism, Whiteness and Decolonising the Academy’ in J. </w:t>
      </w:r>
      <w:proofErr w:type="spellStart"/>
      <w:r w:rsidRPr="00801364">
        <w:rPr>
          <w:rFonts w:cstheme="minorHAnsi"/>
          <w:sz w:val="20"/>
          <w:szCs w:val="20"/>
        </w:rPr>
        <w:t>Aday</w:t>
      </w:r>
      <w:proofErr w:type="spellEnd"/>
      <w:r w:rsidRPr="00801364">
        <w:rPr>
          <w:rFonts w:cstheme="minorHAnsi"/>
          <w:sz w:val="20"/>
          <w:szCs w:val="20"/>
        </w:rPr>
        <w:t xml:space="preserve"> and H. Mirza (eds), </w:t>
      </w:r>
      <w:r w:rsidRPr="00801364">
        <w:rPr>
          <w:rFonts w:cstheme="minorHAnsi"/>
          <w:i/>
          <w:iCs/>
          <w:sz w:val="20"/>
          <w:szCs w:val="20"/>
        </w:rPr>
        <w:t>Dismantling Race in Higher Education</w:t>
      </w:r>
      <w:r w:rsidRPr="00801364">
        <w:rPr>
          <w:rFonts w:cstheme="minorHAnsi"/>
          <w:sz w:val="20"/>
          <w:szCs w:val="20"/>
        </w:rPr>
        <w:t xml:space="preserve"> (2018)</w:t>
      </w:r>
    </w:p>
  </w:footnote>
  <w:footnote w:id="32">
    <w:p w14:paraId="17525312" w14:textId="3DA17475" w:rsidR="001123B6" w:rsidRPr="00801364" w:rsidRDefault="001123B6" w:rsidP="00801364">
      <w:pPr>
        <w:pStyle w:val="FootnoteText"/>
        <w:rPr>
          <w:rFonts w:cstheme="minorHAnsi"/>
        </w:rPr>
      </w:pPr>
      <w:r w:rsidRPr="00801364">
        <w:rPr>
          <w:rStyle w:val="FootnoteReference"/>
          <w:rFonts w:cstheme="minorHAnsi"/>
        </w:rPr>
        <w:footnoteRef/>
      </w:r>
      <w:r w:rsidRPr="00801364">
        <w:rPr>
          <w:rFonts w:cstheme="minorHAnsi"/>
        </w:rPr>
        <w:t xml:space="preserve"> The language used in this section reflects th</w:t>
      </w:r>
      <w:r w:rsidR="00CF2A69" w:rsidRPr="00801364">
        <w:rPr>
          <w:rFonts w:cstheme="minorHAnsi"/>
        </w:rPr>
        <w:t>at of the</w:t>
      </w:r>
      <w:r w:rsidRPr="00801364">
        <w:rPr>
          <w:rFonts w:cstheme="minorHAnsi"/>
        </w:rPr>
        <w:t xml:space="preserve"> studies</w:t>
      </w:r>
      <w:r w:rsidR="00CF2A69" w:rsidRPr="00801364">
        <w:rPr>
          <w:rFonts w:cstheme="minorHAnsi"/>
        </w:rPr>
        <w:t xml:space="preserve"> referenced and the focus group participants and thus includes ‘people with disabilities’ and ‘disabled people’ interchangeably.</w:t>
      </w:r>
      <w:r w:rsidRPr="00801364">
        <w:rPr>
          <w:rFonts w:cstheme="minorHAnsi"/>
        </w:rPr>
        <w:t xml:space="preserve"> </w:t>
      </w:r>
    </w:p>
  </w:footnote>
  <w:footnote w:id="33">
    <w:p w14:paraId="3228531D" w14:textId="257A668A" w:rsidR="007C07D1" w:rsidRPr="00801364" w:rsidRDefault="007C07D1" w:rsidP="00801364">
      <w:pPr>
        <w:pStyle w:val="FootnoteText"/>
        <w:rPr>
          <w:rFonts w:cstheme="minorHAnsi"/>
        </w:rPr>
      </w:pPr>
      <w:r w:rsidRPr="00801364">
        <w:rPr>
          <w:rStyle w:val="FootnoteReference"/>
          <w:rFonts w:cstheme="minorHAnsi"/>
        </w:rPr>
        <w:footnoteRef/>
      </w:r>
      <w:r w:rsidRPr="00801364">
        <w:rPr>
          <w:rFonts w:cstheme="minorHAnsi"/>
        </w:rPr>
        <w:t xml:space="preserve"> K. Johnson and T. George, ‘Supporting Inclusive Teaching Practice within a UK Further and Higher Education Context’, </w:t>
      </w:r>
      <w:r w:rsidRPr="00801364">
        <w:rPr>
          <w:rFonts w:cstheme="minorHAnsi"/>
          <w:i/>
          <w:iCs/>
        </w:rPr>
        <w:t>COMPASS: journal of learning and teaching</w:t>
      </w:r>
      <w:r w:rsidRPr="00801364">
        <w:rPr>
          <w:rFonts w:cstheme="minorHAnsi"/>
        </w:rPr>
        <w:t>, 13:2 (2020)</w:t>
      </w:r>
    </w:p>
  </w:footnote>
  <w:footnote w:id="34">
    <w:p w14:paraId="2FF59B1D" w14:textId="071EADB4" w:rsidR="0B4088E5" w:rsidRPr="00801364" w:rsidRDefault="0B4088E5" w:rsidP="00801364">
      <w:pPr>
        <w:rPr>
          <w:rFonts w:cstheme="minorHAnsi"/>
          <w:color w:val="FF0000"/>
          <w:sz w:val="20"/>
          <w:szCs w:val="20"/>
        </w:rPr>
      </w:pPr>
      <w:r w:rsidRPr="00801364">
        <w:rPr>
          <w:rStyle w:val="FootnoteReference"/>
          <w:rFonts w:cstheme="minorHAnsi"/>
          <w:color w:val="000000" w:themeColor="text1"/>
          <w:sz w:val="20"/>
          <w:szCs w:val="20"/>
        </w:rPr>
        <w:footnoteRef/>
      </w:r>
      <w:r w:rsidRPr="00801364">
        <w:rPr>
          <w:rFonts w:cstheme="minorHAnsi"/>
          <w:color w:val="000000" w:themeColor="text1"/>
          <w:sz w:val="20"/>
          <w:szCs w:val="20"/>
        </w:rPr>
        <w:t xml:space="preserve"> </w:t>
      </w:r>
      <w:proofErr w:type="spellStart"/>
      <w:r w:rsidRPr="00801364">
        <w:rPr>
          <w:rFonts w:cstheme="minorHAnsi"/>
          <w:color w:val="000000" w:themeColor="text1"/>
          <w:sz w:val="20"/>
          <w:szCs w:val="20"/>
        </w:rPr>
        <w:t>OfS</w:t>
      </w:r>
      <w:proofErr w:type="spellEnd"/>
      <w:r w:rsidRPr="00801364">
        <w:rPr>
          <w:rFonts w:cstheme="minorHAnsi"/>
          <w:color w:val="000000" w:themeColor="text1"/>
          <w:sz w:val="20"/>
          <w:szCs w:val="20"/>
        </w:rPr>
        <w:t xml:space="preserve">, Disabled Students (July 2020): </w:t>
      </w:r>
      <w:hyperlink r:id="rId41">
        <w:r w:rsidRPr="00801364">
          <w:rPr>
            <w:rStyle w:val="Hyperlink"/>
            <w:rFonts w:cstheme="minorHAnsi"/>
            <w:sz w:val="20"/>
            <w:szCs w:val="20"/>
          </w:rPr>
          <w:t>https://www.officeforstudents.org.uk/advice-and-guidance/promoting-equal-opportunities/effective-practice/disabled-students/</w:t>
        </w:r>
      </w:hyperlink>
      <w:r w:rsidRPr="00801364">
        <w:rPr>
          <w:rFonts w:cstheme="minorHAnsi"/>
          <w:color w:val="FF0000"/>
          <w:sz w:val="20"/>
          <w:szCs w:val="20"/>
        </w:rPr>
        <w:t xml:space="preserve"> </w:t>
      </w:r>
    </w:p>
  </w:footnote>
  <w:footnote w:id="35">
    <w:p w14:paraId="4516E38C" w14:textId="165E2F1F" w:rsidR="0B4088E5" w:rsidRPr="00801364" w:rsidRDefault="0B4088E5" w:rsidP="00801364">
      <w:pPr>
        <w:rPr>
          <w:rFonts w:cstheme="minorHAnsi"/>
          <w:color w:val="FF0000"/>
          <w:sz w:val="20"/>
          <w:szCs w:val="20"/>
        </w:rPr>
      </w:pPr>
      <w:r w:rsidRPr="00801364">
        <w:rPr>
          <w:rStyle w:val="FootnoteReference"/>
          <w:rFonts w:cstheme="minorHAnsi"/>
          <w:sz w:val="20"/>
          <w:szCs w:val="20"/>
        </w:rPr>
        <w:footnoteRef/>
      </w:r>
      <w:r w:rsidRPr="00801364">
        <w:rPr>
          <w:rFonts w:cstheme="minorHAnsi"/>
          <w:sz w:val="20"/>
          <w:szCs w:val="20"/>
        </w:rPr>
        <w:t xml:space="preserve"> </w:t>
      </w:r>
      <w:r w:rsidRPr="00801364">
        <w:rPr>
          <w:rFonts w:cstheme="minorHAnsi"/>
          <w:color w:val="000000" w:themeColor="text1"/>
          <w:sz w:val="20"/>
          <w:szCs w:val="20"/>
        </w:rPr>
        <w:t xml:space="preserve">Disabled Students’ Commission, Annual report 2020-2021: Enhancing the disabled student experience (2021): </w:t>
      </w:r>
      <w:hyperlink r:id="rId42">
        <w:r w:rsidRPr="00801364">
          <w:rPr>
            <w:rStyle w:val="Hyperlink"/>
            <w:rFonts w:cstheme="minorHAnsi"/>
            <w:sz w:val="20"/>
            <w:szCs w:val="20"/>
          </w:rPr>
          <w:t>https://www.advance-he.ac.uk/knowledge-hub/disabled-students-commission-annual-report-2020-2021-enhancing-disabled-student</w:t>
        </w:r>
      </w:hyperlink>
      <w:r w:rsidRPr="00801364">
        <w:rPr>
          <w:rFonts w:cstheme="minorHAnsi"/>
          <w:color w:val="FF0000"/>
          <w:sz w:val="20"/>
          <w:szCs w:val="20"/>
        </w:rPr>
        <w:t xml:space="preserve"> </w:t>
      </w:r>
    </w:p>
  </w:footnote>
  <w:footnote w:id="36">
    <w:p w14:paraId="46222A2E" w14:textId="16D5E1DD" w:rsidR="0B4088E5" w:rsidRPr="00801364" w:rsidRDefault="0B4088E5" w:rsidP="00801364">
      <w:pPr>
        <w:pStyle w:val="FootnoteText"/>
        <w:rPr>
          <w:rFonts w:cstheme="minorHAnsi"/>
        </w:rPr>
      </w:pPr>
      <w:r w:rsidRPr="00801364">
        <w:rPr>
          <w:rStyle w:val="FootnoteReference"/>
          <w:rFonts w:cstheme="minorHAnsi"/>
        </w:rPr>
        <w:footnoteRef/>
      </w:r>
      <w:r w:rsidRPr="00801364">
        <w:rPr>
          <w:rFonts w:cstheme="minorHAnsi"/>
        </w:rPr>
        <w:t xml:space="preserve"> O. Khan, ‘We lack evidence on what works for closing </w:t>
      </w:r>
      <w:r w:rsidR="004439CD" w:rsidRPr="00801364">
        <w:rPr>
          <w:rFonts w:cstheme="minorHAnsi"/>
        </w:rPr>
        <w:t>disabled</w:t>
      </w:r>
      <w:r w:rsidRPr="00801364">
        <w:rPr>
          <w:rFonts w:cstheme="minorHAnsi"/>
        </w:rPr>
        <w:t xml:space="preserve"> students’ equality gaps’, </w:t>
      </w:r>
      <w:proofErr w:type="spellStart"/>
      <w:r w:rsidRPr="00801364">
        <w:rPr>
          <w:rFonts w:cstheme="minorHAnsi"/>
        </w:rPr>
        <w:t>W</w:t>
      </w:r>
      <w:r w:rsidR="00336133" w:rsidRPr="00801364">
        <w:rPr>
          <w:rFonts w:cstheme="minorHAnsi"/>
        </w:rPr>
        <w:t>onkhe</w:t>
      </w:r>
      <w:proofErr w:type="spellEnd"/>
      <w:r w:rsidRPr="00801364">
        <w:rPr>
          <w:rFonts w:cstheme="minorHAnsi"/>
        </w:rPr>
        <w:t xml:space="preserve"> (</w:t>
      </w:r>
      <w:proofErr w:type="spellStart"/>
      <w:r w:rsidRPr="00801364">
        <w:rPr>
          <w:rFonts w:cstheme="minorHAnsi"/>
        </w:rPr>
        <w:t>Feburary</w:t>
      </w:r>
      <w:proofErr w:type="spellEnd"/>
      <w:r w:rsidRPr="00801364">
        <w:rPr>
          <w:rFonts w:cstheme="minorHAnsi"/>
        </w:rPr>
        <w:t xml:space="preserve"> 2023): </w:t>
      </w:r>
      <w:hyperlink r:id="rId43">
        <w:r w:rsidRPr="00801364">
          <w:rPr>
            <w:rStyle w:val="Hyperlink"/>
            <w:rFonts w:cstheme="minorHAnsi"/>
          </w:rPr>
          <w:t>https://wonkhe.com/blogs/we-lack-evidence-on-what-works-for-closing-disabled-students-equality-gaps/</w:t>
        </w:r>
      </w:hyperlink>
      <w:r w:rsidRPr="00801364">
        <w:rPr>
          <w:rFonts w:cstheme="minorHAnsi"/>
        </w:rPr>
        <w:t xml:space="preserve"> </w:t>
      </w:r>
    </w:p>
  </w:footnote>
  <w:footnote w:id="37">
    <w:p w14:paraId="0B208D7A" w14:textId="07F1F508" w:rsidR="00D72868" w:rsidRPr="00801364" w:rsidRDefault="00D72868" w:rsidP="00801364">
      <w:pPr>
        <w:pStyle w:val="FootnoteText"/>
        <w:rPr>
          <w:rFonts w:cstheme="minorHAnsi"/>
        </w:rPr>
      </w:pPr>
      <w:r w:rsidRPr="00801364">
        <w:rPr>
          <w:rStyle w:val="FootnoteReference"/>
          <w:rFonts w:cstheme="minorHAnsi"/>
        </w:rPr>
        <w:footnoteRef/>
      </w:r>
      <w:r w:rsidRPr="00801364">
        <w:rPr>
          <w:rFonts w:cstheme="minorHAnsi"/>
        </w:rPr>
        <w:t xml:space="preserve"> Mette Anwar-</w:t>
      </w:r>
      <w:proofErr w:type="spellStart"/>
      <w:r w:rsidRPr="00801364">
        <w:rPr>
          <w:rFonts w:cstheme="minorHAnsi"/>
        </w:rPr>
        <w:t>Westander</w:t>
      </w:r>
      <w:proofErr w:type="spellEnd"/>
      <w:r w:rsidRPr="00801364">
        <w:rPr>
          <w:rFonts w:cstheme="minorHAnsi"/>
        </w:rPr>
        <w:t xml:space="preserve"> and Pete Quinn, ‘Disabled PhD students can be better supported’, </w:t>
      </w:r>
      <w:proofErr w:type="spellStart"/>
      <w:r w:rsidRPr="00801364">
        <w:rPr>
          <w:rFonts w:cstheme="minorHAnsi"/>
        </w:rPr>
        <w:t>W</w:t>
      </w:r>
      <w:r w:rsidR="00336133" w:rsidRPr="00801364">
        <w:rPr>
          <w:rFonts w:cstheme="minorHAnsi"/>
        </w:rPr>
        <w:t>onkhe</w:t>
      </w:r>
      <w:proofErr w:type="spellEnd"/>
      <w:r w:rsidRPr="00801364">
        <w:rPr>
          <w:rFonts w:cstheme="minorHAnsi"/>
        </w:rPr>
        <w:t xml:space="preserve"> (October 2023): </w:t>
      </w:r>
      <w:hyperlink r:id="rId44" w:history="1">
        <w:r w:rsidRPr="00801364">
          <w:rPr>
            <w:rStyle w:val="Hyperlink"/>
            <w:rFonts w:cstheme="minorHAnsi"/>
          </w:rPr>
          <w:t>https://wonkhe.com/blogs/disabled-phd-students-can-be-better-supported/</w:t>
        </w:r>
      </w:hyperlink>
      <w:r w:rsidRPr="00801364">
        <w:rPr>
          <w:rFonts w:cstheme="minorHAnsi"/>
        </w:rPr>
        <w:t xml:space="preserve"> </w:t>
      </w:r>
    </w:p>
  </w:footnote>
  <w:footnote w:id="38">
    <w:p w14:paraId="460FC9E9" w14:textId="1FCCF77F" w:rsidR="004439CD" w:rsidRPr="00801364" w:rsidRDefault="004439CD" w:rsidP="00801364">
      <w:pPr>
        <w:pStyle w:val="FootnoteText"/>
        <w:rPr>
          <w:rFonts w:cstheme="minorHAnsi"/>
        </w:rPr>
      </w:pPr>
      <w:r w:rsidRPr="00801364">
        <w:rPr>
          <w:rStyle w:val="FootnoteReference"/>
          <w:rFonts w:cstheme="minorHAnsi"/>
        </w:rPr>
        <w:footnoteRef/>
      </w:r>
      <w:r w:rsidRPr="00801364">
        <w:rPr>
          <w:rFonts w:cstheme="minorHAnsi"/>
        </w:rPr>
        <w:t xml:space="preserve"> T. Osborne, ‘Not lazy, not </w:t>
      </w:r>
      <w:proofErr w:type="gramStart"/>
      <w:r w:rsidRPr="00801364">
        <w:rPr>
          <w:rFonts w:cstheme="minorHAnsi"/>
        </w:rPr>
        <w:t>faking:</w:t>
      </w:r>
      <w:proofErr w:type="gramEnd"/>
      <w:r w:rsidRPr="00801364">
        <w:rPr>
          <w:rFonts w:cstheme="minorHAnsi"/>
        </w:rPr>
        <w:t xml:space="preserve"> teaching and learning experiences of university students with disabilities’, </w:t>
      </w:r>
      <w:r w:rsidRPr="00801364">
        <w:rPr>
          <w:rFonts w:cstheme="minorHAnsi"/>
          <w:i/>
          <w:iCs/>
        </w:rPr>
        <w:t>Disability &amp; Society</w:t>
      </w:r>
      <w:r w:rsidRPr="00801364">
        <w:rPr>
          <w:rFonts w:cstheme="minorHAnsi"/>
        </w:rPr>
        <w:t xml:space="preserve"> (2018)</w:t>
      </w:r>
    </w:p>
  </w:footnote>
  <w:footnote w:id="39">
    <w:p w14:paraId="57766340" w14:textId="4A248615" w:rsidR="00EB025B" w:rsidRPr="00801364" w:rsidRDefault="00EB025B" w:rsidP="00801364">
      <w:pPr>
        <w:pStyle w:val="FootnoteText"/>
        <w:rPr>
          <w:rFonts w:cstheme="minorHAnsi"/>
        </w:rPr>
      </w:pPr>
      <w:r w:rsidRPr="00801364">
        <w:rPr>
          <w:rStyle w:val="FootnoteReference"/>
          <w:rFonts w:cstheme="minorHAnsi"/>
        </w:rPr>
        <w:footnoteRef/>
      </w:r>
      <w:r w:rsidRPr="00801364">
        <w:rPr>
          <w:rFonts w:cstheme="minorHAnsi"/>
        </w:rPr>
        <w:t xml:space="preserve"> See new report on ‘Improving the experiences of disabled students in STEM’: </w:t>
      </w:r>
      <w:hyperlink r:id="rId45" w:history="1">
        <w:r w:rsidRPr="00801364">
          <w:rPr>
            <w:rStyle w:val="Hyperlink"/>
            <w:rFonts w:cstheme="minorHAnsi"/>
          </w:rPr>
          <w:t>https://disabledstudents.co.uk/wp-content/uploads/2023/10/Improving-the-Experience-of-Disabled-PhD-Students-in-STEM-small-print.pdf</w:t>
        </w:r>
      </w:hyperlink>
      <w:r w:rsidRPr="00801364">
        <w:rPr>
          <w:rFonts w:cstheme="minorHAnsi"/>
        </w:rPr>
        <w:t xml:space="preserve"> </w:t>
      </w:r>
    </w:p>
  </w:footnote>
  <w:footnote w:id="40">
    <w:p w14:paraId="66C1CF7A" w14:textId="1302105B" w:rsidR="004439CD" w:rsidRPr="00801364" w:rsidRDefault="004439CD" w:rsidP="00801364">
      <w:pPr>
        <w:pStyle w:val="FootnoteText"/>
        <w:rPr>
          <w:rFonts w:cstheme="minorHAnsi"/>
        </w:rPr>
      </w:pPr>
      <w:r w:rsidRPr="00801364">
        <w:rPr>
          <w:rStyle w:val="FootnoteReference"/>
          <w:rFonts w:cstheme="minorHAnsi"/>
        </w:rPr>
        <w:footnoteRef/>
      </w:r>
      <w:r w:rsidRPr="00801364">
        <w:rPr>
          <w:rFonts w:cstheme="minorHAnsi"/>
        </w:rPr>
        <w:t xml:space="preserve"> Osborne, ‘Not lazy, not faking’.</w:t>
      </w:r>
    </w:p>
  </w:footnote>
  <w:footnote w:id="41">
    <w:p w14:paraId="34416160" w14:textId="77777777" w:rsidR="004439CD" w:rsidRPr="00801364" w:rsidRDefault="004439CD" w:rsidP="00801364">
      <w:pPr>
        <w:pStyle w:val="FootnoteText"/>
        <w:rPr>
          <w:rFonts w:cstheme="minorHAnsi"/>
        </w:rPr>
      </w:pPr>
      <w:r w:rsidRPr="00801364">
        <w:rPr>
          <w:rStyle w:val="FootnoteReference"/>
          <w:rFonts w:cstheme="minorHAnsi"/>
        </w:rPr>
        <w:footnoteRef/>
      </w:r>
      <w:r w:rsidRPr="00801364">
        <w:rPr>
          <w:rFonts w:cstheme="minorHAnsi"/>
        </w:rPr>
        <w:t xml:space="preserve"> L. </w:t>
      </w:r>
      <w:proofErr w:type="spellStart"/>
      <w:r w:rsidRPr="00801364">
        <w:rPr>
          <w:rFonts w:cstheme="minorHAnsi"/>
        </w:rPr>
        <w:t>Clouder</w:t>
      </w:r>
      <w:proofErr w:type="spellEnd"/>
      <w:r w:rsidRPr="00801364">
        <w:rPr>
          <w:rFonts w:cstheme="minorHAnsi"/>
        </w:rPr>
        <w:t xml:space="preserve">, M. </w:t>
      </w:r>
      <w:proofErr w:type="spellStart"/>
      <w:r w:rsidRPr="00801364">
        <w:rPr>
          <w:rFonts w:cstheme="minorHAnsi"/>
        </w:rPr>
        <w:t>Karakus</w:t>
      </w:r>
      <w:proofErr w:type="spellEnd"/>
      <w:r w:rsidRPr="00801364">
        <w:rPr>
          <w:rFonts w:cstheme="minorHAnsi"/>
        </w:rPr>
        <w:t xml:space="preserve">, A. </w:t>
      </w:r>
      <w:proofErr w:type="spellStart"/>
      <w:r w:rsidRPr="00801364">
        <w:rPr>
          <w:rFonts w:cstheme="minorHAnsi"/>
        </w:rPr>
        <w:t>Cinotti</w:t>
      </w:r>
      <w:proofErr w:type="spellEnd"/>
      <w:r w:rsidRPr="00801364">
        <w:rPr>
          <w:rFonts w:cstheme="minorHAnsi"/>
        </w:rPr>
        <w:t xml:space="preserve">, N. V. </w:t>
      </w:r>
      <w:proofErr w:type="spellStart"/>
      <w:r w:rsidRPr="00801364">
        <w:rPr>
          <w:rFonts w:cstheme="minorHAnsi"/>
        </w:rPr>
        <w:t>Ferreyra</w:t>
      </w:r>
      <w:proofErr w:type="spellEnd"/>
      <w:r w:rsidRPr="00801364">
        <w:rPr>
          <w:rFonts w:cstheme="minorHAnsi"/>
        </w:rPr>
        <w:t xml:space="preserve">, G. A. </w:t>
      </w:r>
      <w:proofErr w:type="spellStart"/>
      <w:r w:rsidRPr="00801364">
        <w:rPr>
          <w:rFonts w:cstheme="minorHAnsi"/>
        </w:rPr>
        <w:t>Fierrors</w:t>
      </w:r>
      <w:proofErr w:type="spellEnd"/>
      <w:r w:rsidRPr="00801364">
        <w:rPr>
          <w:rFonts w:cstheme="minorHAnsi"/>
        </w:rPr>
        <w:t xml:space="preserve"> &amp; P. </w:t>
      </w:r>
      <w:proofErr w:type="spellStart"/>
      <w:r w:rsidRPr="00801364">
        <w:rPr>
          <w:rFonts w:cstheme="minorHAnsi"/>
        </w:rPr>
        <w:t>Roja</w:t>
      </w:r>
      <w:proofErr w:type="spellEnd"/>
      <w:r w:rsidRPr="00801364">
        <w:rPr>
          <w:rFonts w:cstheme="minorHAnsi"/>
        </w:rPr>
        <w:t xml:space="preserve">, ‘Neurodiversity in higher education: a narrative synthesis’ </w:t>
      </w:r>
      <w:r w:rsidRPr="00801364">
        <w:rPr>
          <w:rFonts w:cstheme="minorHAnsi"/>
          <w:i/>
          <w:iCs/>
        </w:rPr>
        <w:t>Higher Education</w:t>
      </w:r>
      <w:r w:rsidRPr="00801364">
        <w:rPr>
          <w:rFonts w:cstheme="minorHAnsi"/>
        </w:rPr>
        <w:t xml:space="preserve"> 80 (2020) 757-778. </w:t>
      </w:r>
    </w:p>
  </w:footnote>
  <w:footnote w:id="42">
    <w:p w14:paraId="4B41627C" w14:textId="71F8DF19" w:rsidR="004439CD" w:rsidRPr="00801364" w:rsidRDefault="004439CD" w:rsidP="00801364">
      <w:pPr>
        <w:pStyle w:val="FootnoteText"/>
        <w:rPr>
          <w:rFonts w:cstheme="minorHAnsi"/>
        </w:rPr>
      </w:pPr>
      <w:r w:rsidRPr="00801364">
        <w:rPr>
          <w:rStyle w:val="FootnoteReference"/>
          <w:rFonts w:cstheme="minorHAnsi"/>
        </w:rPr>
        <w:footnoteRef/>
      </w:r>
      <w:r w:rsidRPr="00801364">
        <w:rPr>
          <w:rFonts w:cstheme="minorHAnsi"/>
        </w:rPr>
        <w:t xml:space="preserve"> For a full discussion of passing in disability studies see, A. </w:t>
      </w:r>
      <w:proofErr w:type="spellStart"/>
      <w:r w:rsidRPr="00801364">
        <w:rPr>
          <w:rFonts w:cstheme="minorHAnsi"/>
        </w:rPr>
        <w:t>Brune</w:t>
      </w:r>
      <w:proofErr w:type="spellEnd"/>
      <w:r w:rsidRPr="00801364">
        <w:rPr>
          <w:rFonts w:cstheme="minorHAnsi"/>
        </w:rPr>
        <w:t xml:space="preserve">, and D. J. Wilson, </w:t>
      </w:r>
      <w:r w:rsidRPr="00801364">
        <w:rPr>
          <w:rFonts w:cstheme="minorHAnsi"/>
          <w:i/>
          <w:iCs/>
        </w:rPr>
        <w:t>Disability and Passing: Blurring the Lines of Identity</w:t>
      </w:r>
      <w:r w:rsidRPr="00801364">
        <w:rPr>
          <w:rFonts w:cstheme="minorHAnsi"/>
        </w:rPr>
        <w:t xml:space="preserve"> (2013). p. 92.</w:t>
      </w:r>
    </w:p>
  </w:footnote>
  <w:footnote w:id="43">
    <w:p w14:paraId="266C1B3F" w14:textId="77777777" w:rsidR="004439CD" w:rsidRPr="00801364" w:rsidRDefault="004439CD" w:rsidP="00801364">
      <w:pPr>
        <w:pStyle w:val="FootnoteText"/>
        <w:rPr>
          <w:rFonts w:cstheme="minorHAnsi"/>
        </w:rPr>
      </w:pPr>
      <w:r w:rsidRPr="00801364">
        <w:rPr>
          <w:rStyle w:val="FootnoteReference"/>
          <w:rFonts w:cstheme="minorHAnsi"/>
        </w:rPr>
        <w:footnoteRef/>
      </w:r>
      <w:r w:rsidRPr="00801364">
        <w:rPr>
          <w:rFonts w:cstheme="minorHAnsi"/>
        </w:rPr>
        <w:t xml:space="preserve"> E. Griffin, D. Pollak, ‘Student experiences of neurodiversity in higher education: insights from the BRAINHE project’ </w:t>
      </w:r>
      <w:r w:rsidRPr="00801364">
        <w:rPr>
          <w:rFonts w:cstheme="minorHAnsi"/>
          <w:i/>
          <w:iCs/>
        </w:rPr>
        <w:t>Dyslexia</w:t>
      </w:r>
      <w:r w:rsidRPr="00801364">
        <w:rPr>
          <w:rFonts w:cstheme="minorHAnsi"/>
        </w:rPr>
        <w:t xml:space="preserve"> 15:1, (2009) 1-69, p.33. </w:t>
      </w:r>
    </w:p>
  </w:footnote>
  <w:footnote w:id="44">
    <w:p w14:paraId="1C5DFE74" w14:textId="1F3D7F3D" w:rsidR="004439CD" w:rsidRPr="00801364" w:rsidRDefault="004439CD" w:rsidP="00801364">
      <w:pPr>
        <w:pStyle w:val="FootnoteText"/>
        <w:rPr>
          <w:rFonts w:cstheme="minorHAnsi"/>
        </w:rPr>
      </w:pPr>
      <w:r w:rsidRPr="00801364">
        <w:rPr>
          <w:rStyle w:val="FootnoteReference"/>
          <w:rFonts w:cstheme="minorHAnsi"/>
        </w:rPr>
        <w:footnoteRef/>
      </w:r>
      <w:r w:rsidRPr="00801364">
        <w:rPr>
          <w:rFonts w:cstheme="minorHAnsi"/>
        </w:rPr>
        <w:t xml:space="preserve"> </w:t>
      </w:r>
      <w:hyperlink r:id="rId46" w:history="1">
        <w:r w:rsidR="00654347" w:rsidRPr="00801364">
          <w:rPr>
            <w:rStyle w:val="Hyperlink"/>
            <w:rFonts w:cstheme="minorHAnsi"/>
          </w:rPr>
          <w:t>https://www.open.ac.uk/blogs/opentel/guidance-designing-learning-for-autistic-and-neurodiverse-students/</w:t>
        </w:r>
      </w:hyperlink>
      <w:r w:rsidR="00654347" w:rsidRPr="00801364">
        <w:rPr>
          <w:rFonts w:cstheme="minorHAnsi"/>
        </w:rPr>
        <w:t xml:space="preserve"> </w:t>
      </w:r>
    </w:p>
  </w:footnote>
  <w:footnote w:id="45">
    <w:p w14:paraId="5279328B" w14:textId="560343B9" w:rsidR="007344BF" w:rsidRPr="00801364" w:rsidRDefault="007344BF"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K. Johnson and T. George, ‘Supporting inclusive teaching practice within a UK further and higher education context’, </w:t>
      </w:r>
      <w:r w:rsidRPr="00801364">
        <w:rPr>
          <w:rFonts w:cstheme="minorHAnsi"/>
          <w:i/>
          <w:iCs/>
          <w:sz w:val="20"/>
          <w:szCs w:val="20"/>
        </w:rPr>
        <w:t>COMPASS: journal of learning and teaching</w:t>
      </w:r>
      <w:r w:rsidR="00DA4EB4" w:rsidRPr="00801364">
        <w:rPr>
          <w:rFonts w:cstheme="minorHAnsi"/>
          <w:sz w:val="20"/>
          <w:szCs w:val="20"/>
        </w:rPr>
        <w:t xml:space="preserve">, </w:t>
      </w:r>
      <w:r w:rsidRPr="00801364">
        <w:rPr>
          <w:rFonts w:cstheme="minorHAnsi"/>
          <w:sz w:val="20"/>
          <w:szCs w:val="20"/>
        </w:rPr>
        <w:t xml:space="preserve">13:2 (2020) </w:t>
      </w:r>
      <w:hyperlink r:id="rId47">
        <w:r w:rsidRPr="00801364">
          <w:rPr>
            <w:rStyle w:val="Hyperlink"/>
            <w:rFonts w:cstheme="minorHAnsi"/>
            <w:sz w:val="20"/>
            <w:szCs w:val="20"/>
          </w:rPr>
          <w:t>https://journals.gre.ac.uk/index.php/compass/article/view/1034/pdf</w:t>
        </w:r>
      </w:hyperlink>
      <w:r w:rsidRPr="00801364">
        <w:rPr>
          <w:rFonts w:cstheme="minorHAnsi"/>
          <w:sz w:val="20"/>
          <w:szCs w:val="20"/>
        </w:rPr>
        <w:t xml:space="preserve"> </w:t>
      </w:r>
    </w:p>
  </w:footnote>
  <w:footnote w:id="46">
    <w:p w14:paraId="7E113A5C" w14:textId="77777777" w:rsidR="007344BF" w:rsidRPr="00801364" w:rsidRDefault="007344BF" w:rsidP="00801364">
      <w:pPr>
        <w:pStyle w:val="FootnoteText"/>
        <w:rPr>
          <w:rFonts w:cstheme="minorHAnsi"/>
        </w:rPr>
      </w:pPr>
      <w:r w:rsidRPr="00801364">
        <w:rPr>
          <w:rStyle w:val="FootnoteReference"/>
          <w:rFonts w:cstheme="minorHAnsi"/>
        </w:rPr>
        <w:footnoteRef/>
      </w:r>
      <w:r w:rsidRPr="00801364">
        <w:rPr>
          <w:rFonts w:cstheme="minorHAnsi"/>
        </w:rPr>
        <w:t xml:space="preserve"> A. Sewell, ‘Understanding and supporting learners with specific learning difficulties from a neurodiversity perspective: a narrative synthesis’ British Journal of Special Education 49:4 (2022) 507-686 p.551.</w:t>
      </w:r>
    </w:p>
  </w:footnote>
  <w:footnote w:id="47">
    <w:p w14:paraId="75F8E1C4" w14:textId="77777777" w:rsidR="007344BF" w:rsidRPr="00801364" w:rsidRDefault="007344BF" w:rsidP="00801364">
      <w:pPr>
        <w:pStyle w:val="FootnoteText"/>
        <w:rPr>
          <w:rFonts w:cstheme="minorHAnsi"/>
        </w:rPr>
      </w:pPr>
      <w:r w:rsidRPr="00801364">
        <w:rPr>
          <w:rStyle w:val="FootnoteReference"/>
          <w:rFonts w:cstheme="minorHAnsi"/>
        </w:rPr>
        <w:footnoteRef/>
      </w:r>
      <w:r w:rsidRPr="00801364">
        <w:rPr>
          <w:rFonts w:cstheme="minorHAnsi"/>
        </w:rPr>
        <w:t xml:space="preserve"> See</w:t>
      </w:r>
      <w:r w:rsidRPr="00801364">
        <w:rPr>
          <w:rFonts w:cstheme="minorHAnsi"/>
          <w:color w:val="000000"/>
          <w:shd w:val="clear" w:color="auto" w:fill="FFFFFF"/>
        </w:rPr>
        <w:t> Bligh 1998 </w:t>
      </w:r>
      <w:r w:rsidRPr="00801364">
        <w:rPr>
          <w:rFonts w:cstheme="minorHAnsi"/>
          <w:i/>
          <w:iCs/>
          <w:color w:val="000000"/>
          <w:shd w:val="clear" w:color="auto" w:fill="FFFFFF"/>
        </w:rPr>
        <w:t>What’s</w:t>
      </w:r>
      <w:r w:rsidRPr="00801364">
        <w:rPr>
          <w:rFonts w:cstheme="minorHAnsi"/>
          <w:color w:val="000000"/>
          <w:shd w:val="clear" w:color="auto" w:fill="FFFFFF"/>
        </w:rPr>
        <w:t> </w:t>
      </w:r>
      <w:r w:rsidRPr="00801364">
        <w:rPr>
          <w:rFonts w:cstheme="minorHAnsi"/>
          <w:i/>
          <w:iCs/>
          <w:color w:val="000000"/>
          <w:shd w:val="clear" w:color="auto" w:fill="FFFFFF"/>
        </w:rPr>
        <w:t>the Use of Lectures</w:t>
      </w:r>
      <w:r w:rsidRPr="00801364">
        <w:rPr>
          <w:rFonts w:cstheme="minorHAnsi"/>
          <w:color w:val="000000"/>
          <w:shd w:val="clear" w:color="auto" w:fill="FFFFFF"/>
        </w:rPr>
        <w:t> (Intellect Books, 5th edition) J. Middendorf &amp; A. Kalish 1995. ‘</w:t>
      </w:r>
      <w:r w:rsidRPr="00801364">
        <w:rPr>
          <w:rFonts w:cstheme="minorHAnsi"/>
          <w:i/>
          <w:iCs/>
          <w:color w:val="000000"/>
          <w:shd w:val="clear" w:color="auto" w:fill="FFFFFF"/>
        </w:rPr>
        <w:t>The “Change up” in Lectures’</w:t>
      </w:r>
      <w:r w:rsidRPr="00801364">
        <w:rPr>
          <w:rFonts w:cstheme="minorHAnsi"/>
          <w:color w:val="000000"/>
          <w:shd w:val="clear" w:color="auto" w:fill="FFFFFF"/>
        </w:rPr>
        <w:t> (Teaching Resources Centre, Indiana University) &amp; L. A. Burke &amp; R. Ray. 2008. ‘Resetting the concentration levels of students in higher education: an exploratory study’ in </w:t>
      </w:r>
      <w:r w:rsidRPr="00801364">
        <w:rPr>
          <w:rFonts w:cstheme="minorHAnsi"/>
          <w:i/>
          <w:iCs/>
          <w:color w:val="000000"/>
          <w:shd w:val="clear" w:color="auto" w:fill="FFFFFF"/>
        </w:rPr>
        <w:t>Teaching in Higher Education</w:t>
      </w:r>
      <w:r w:rsidRPr="00801364">
        <w:rPr>
          <w:rFonts w:cstheme="minorHAnsi"/>
          <w:color w:val="000000"/>
          <w:shd w:val="clear" w:color="auto" w:fill="FFFFFF"/>
        </w:rPr>
        <w:t> 13 (5)  </w:t>
      </w:r>
    </w:p>
  </w:footnote>
  <w:footnote w:id="48">
    <w:p w14:paraId="67FA1044" w14:textId="77777777" w:rsidR="007344BF" w:rsidRPr="00801364" w:rsidRDefault="007344BF" w:rsidP="00801364">
      <w:pPr>
        <w:pStyle w:val="FootnoteText"/>
        <w:rPr>
          <w:rFonts w:cstheme="minorHAnsi"/>
        </w:rPr>
      </w:pPr>
      <w:r w:rsidRPr="00801364">
        <w:rPr>
          <w:rStyle w:val="FootnoteReference"/>
          <w:rFonts w:cstheme="minorHAnsi"/>
        </w:rPr>
        <w:footnoteRef/>
      </w:r>
      <w:r w:rsidRPr="00801364">
        <w:rPr>
          <w:rFonts w:cstheme="minorHAnsi"/>
        </w:rPr>
        <w:t xml:space="preserve"> </w:t>
      </w:r>
      <w:r w:rsidRPr="00801364">
        <w:rPr>
          <w:rFonts w:cstheme="minorHAnsi"/>
          <w:color w:val="000000"/>
          <w:shd w:val="clear" w:color="auto" w:fill="FFFFFF"/>
        </w:rPr>
        <w:t xml:space="preserve"> J. </w:t>
      </w:r>
      <w:proofErr w:type="spellStart"/>
      <w:r w:rsidRPr="00801364">
        <w:rPr>
          <w:rFonts w:cstheme="minorHAnsi"/>
          <w:color w:val="000000"/>
          <w:shd w:val="clear" w:color="auto" w:fill="FFFFFF"/>
        </w:rPr>
        <w:t>McKimm</w:t>
      </w:r>
      <w:proofErr w:type="spellEnd"/>
      <w:r w:rsidRPr="00801364">
        <w:rPr>
          <w:rFonts w:cstheme="minorHAnsi"/>
          <w:color w:val="000000"/>
          <w:shd w:val="clear" w:color="auto" w:fill="FFFFFF"/>
        </w:rPr>
        <w:t xml:space="preserve"> &amp; C. Morris. 2009. ‘Small group teaching’ in </w:t>
      </w:r>
      <w:r w:rsidRPr="00801364">
        <w:rPr>
          <w:rFonts w:cstheme="minorHAnsi"/>
          <w:i/>
          <w:iCs/>
          <w:color w:val="000000"/>
          <w:shd w:val="clear" w:color="auto" w:fill="FFFFFF"/>
        </w:rPr>
        <w:t>British Journal of Hospital Medicine</w:t>
      </w:r>
      <w:r w:rsidRPr="00801364">
        <w:rPr>
          <w:rFonts w:cstheme="minorHAnsi"/>
          <w:color w:val="000000"/>
          <w:shd w:val="clear" w:color="auto" w:fill="FFFFFF"/>
        </w:rPr>
        <w:t xml:space="preserve"> 70 (11) p.654  </w:t>
      </w:r>
    </w:p>
  </w:footnote>
  <w:footnote w:id="49">
    <w:p w14:paraId="65C036C2" w14:textId="205CA73A" w:rsidR="00463931" w:rsidRPr="00801364" w:rsidRDefault="00463931"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See</w:t>
      </w:r>
      <w:r w:rsidRPr="00801364">
        <w:rPr>
          <w:rFonts w:cstheme="minorHAnsi"/>
          <w:color w:val="FF0000"/>
          <w:sz w:val="20"/>
          <w:szCs w:val="20"/>
        </w:rPr>
        <w:t xml:space="preserve"> </w:t>
      </w:r>
      <w:r w:rsidR="0032250D" w:rsidRPr="00801364">
        <w:rPr>
          <w:rFonts w:cstheme="minorHAnsi"/>
          <w:color w:val="000000" w:themeColor="text1"/>
          <w:sz w:val="20"/>
          <w:szCs w:val="20"/>
        </w:rPr>
        <w:t xml:space="preserve">M. Collins and J. Wood, Post-Pandemic Pedagogy: a report on best practice for history teaching after Covid (2023); </w:t>
      </w:r>
      <w:r w:rsidRPr="00801364">
        <w:rPr>
          <w:rFonts w:cstheme="minorHAnsi"/>
          <w:color w:val="000000" w:themeColor="text1"/>
          <w:sz w:val="20"/>
          <w:szCs w:val="20"/>
        </w:rPr>
        <w:t xml:space="preserve">A. Budd, ‘Inclusive Pedagogies during the Pandemic: Can Equality, Diversity and Inclusion Policy Keep Up?’ History UK, March 2022, </w:t>
      </w:r>
      <w:hyperlink r:id="rId48">
        <w:r w:rsidRPr="00801364">
          <w:rPr>
            <w:rStyle w:val="Hyperlink"/>
            <w:rFonts w:cstheme="minorHAnsi"/>
            <w:sz w:val="20"/>
            <w:szCs w:val="20"/>
          </w:rPr>
          <w:t>https://www.history-uk.ac.uk/2022/03/03/inclusive-pedagogies-during-the-pandemic-can-equality-diversity-and-inclusion-policy-keep-up/</w:t>
        </w:r>
      </w:hyperlink>
      <w:r w:rsidRPr="00801364">
        <w:rPr>
          <w:rFonts w:cstheme="minorHAnsi"/>
          <w:color w:val="000000" w:themeColor="text1"/>
          <w:sz w:val="20"/>
          <w:szCs w:val="20"/>
        </w:rPr>
        <w:t>;</w:t>
      </w:r>
      <w:r w:rsidRPr="00801364">
        <w:rPr>
          <w:rFonts w:cstheme="minorHAnsi"/>
          <w:color w:val="FF0000"/>
          <w:sz w:val="20"/>
          <w:szCs w:val="20"/>
        </w:rPr>
        <w:t xml:space="preserve"> </w:t>
      </w:r>
      <w:r w:rsidRPr="00801364">
        <w:rPr>
          <w:rFonts w:cstheme="minorHAnsi"/>
          <w:sz w:val="20"/>
          <w:szCs w:val="20"/>
        </w:rPr>
        <w:t xml:space="preserve">NUS: COVID-19 and Students Survey Report (April 2020) </w:t>
      </w:r>
      <w:hyperlink r:id="rId49">
        <w:r w:rsidRPr="00801364">
          <w:rPr>
            <w:rStyle w:val="Hyperlink"/>
            <w:rFonts w:cstheme="minorHAnsi"/>
            <w:sz w:val="20"/>
            <w:szCs w:val="20"/>
          </w:rPr>
          <w:t>https://www.nusconnect.org.uk/resources/covid-19-and-students-survey-report</w:t>
        </w:r>
      </w:hyperlink>
      <w:r w:rsidRPr="00801364">
        <w:rPr>
          <w:rFonts w:cstheme="minorHAnsi"/>
          <w:sz w:val="20"/>
          <w:szCs w:val="20"/>
        </w:rPr>
        <w:t xml:space="preserve">; Office for Students: Equality, diversity and student characteristics data (June 2022) – detailed info about 20/21 cohort of students in UK HE </w:t>
      </w:r>
      <w:hyperlink r:id="rId50">
        <w:r w:rsidRPr="00801364">
          <w:rPr>
            <w:rStyle w:val="Hyperlink"/>
            <w:rFonts w:cstheme="minorHAnsi"/>
            <w:sz w:val="20"/>
            <w:szCs w:val="20"/>
          </w:rPr>
          <w:t>https://www.officeforstudents.org.uk/data-and-analysis/student-characteristics-data/</w:t>
        </w:r>
      </w:hyperlink>
      <w:r w:rsidRPr="00801364">
        <w:rPr>
          <w:rFonts w:cstheme="minorHAnsi"/>
          <w:sz w:val="20"/>
          <w:szCs w:val="20"/>
        </w:rPr>
        <w:t xml:space="preserve">; ONS: Coronavirus and first year higher education students (Oct 2021) </w:t>
      </w:r>
      <w:hyperlink r:id="rId51">
        <w:r w:rsidRPr="00801364">
          <w:rPr>
            <w:rStyle w:val="Hyperlink"/>
            <w:rFonts w:cstheme="minorHAnsi"/>
            <w:sz w:val="20"/>
            <w:szCs w:val="20"/>
          </w:rPr>
          <w:t>https://www.ons.gov.uk/peoplepopulationandcommunity/healthandsocialcare/healthandwellbeing/bulletins/coronavirusandfirstyearhighereducationstudentsengland/4octoberto11october2021</w:t>
        </w:r>
      </w:hyperlink>
      <w:r w:rsidRPr="00801364">
        <w:rPr>
          <w:rFonts w:cstheme="minorHAnsi"/>
          <w:sz w:val="20"/>
          <w:szCs w:val="20"/>
        </w:rPr>
        <w:t xml:space="preserve"> ; Inside UK Universities: Staff Mental Health and Wellbeing During the Coronavirus Pandemic (June 2021) </w:t>
      </w:r>
      <w:hyperlink r:id="rId52">
        <w:r w:rsidRPr="00801364">
          <w:rPr>
            <w:rStyle w:val="Hyperlink"/>
            <w:rFonts w:cstheme="minorHAnsi"/>
            <w:sz w:val="20"/>
            <w:szCs w:val="20"/>
          </w:rPr>
          <w:t>https://psyarxiv.com/23axu/</w:t>
        </w:r>
      </w:hyperlink>
      <w:r w:rsidRPr="00801364">
        <w:rPr>
          <w:rFonts w:cstheme="minorHAnsi"/>
          <w:sz w:val="20"/>
          <w:szCs w:val="20"/>
        </w:rPr>
        <w:t xml:space="preserve"> (</w:t>
      </w:r>
      <w:proofErr w:type="spellStart"/>
      <w:r w:rsidRPr="00801364">
        <w:rPr>
          <w:rFonts w:cstheme="minorHAnsi"/>
          <w:sz w:val="20"/>
          <w:szCs w:val="20"/>
        </w:rPr>
        <w:t>Dougall</w:t>
      </w:r>
      <w:proofErr w:type="spellEnd"/>
      <w:r w:rsidRPr="00801364">
        <w:rPr>
          <w:rFonts w:cstheme="minorHAnsi"/>
          <w:sz w:val="20"/>
          <w:szCs w:val="20"/>
        </w:rPr>
        <w:t xml:space="preserve">, Isla, Mario Weick, and </w:t>
      </w:r>
      <w:proofErr w:type="spellStart"/>
      <w:r w:rsidRPr="00801364">
        <w:rPr>
          <w:rFonts w:cstheme="minorHAnsi"/>
          <w:sz w:val="20"/>
          <w:szCs w:val="20"/>
        </w:rPr>
        <w:t>Milica</w:t>
      </w:r>
      <w:proofErr w:type="spellEnd"/>
      <w:r w:rsidRPr="00801364">
        <w:rPr>
          <w:rFonts w:cstheme="minorHAnsi"/>
          <w:sz w:val="20"/>
          <w:szCs w:val="20"/>
        </w:rPr>
        <w:t xml:space="preserve"> Vasiljevic. 2021. “Inside UK Universities: Staff Mental Health and Wellbeing During the Coronavirus Pandemic.” Preprint. doi:10.31234/osf.io/23axu.)</w:t>
      </w:r>
    </w:p>
    <w:p w14:paraId="1A01AAC3" w14:textId="77777777" w:rsidR="00463931" w:rsidRPr="00801364" w:rsidRDefault="00000000" w:rsidP="00801364">
      <w:pPr>
        <w:rPr>
          <w:rFonts w:cstheme="minorHAnsi"/>
          <w:sz w:val="20"/>
          <w:szCs w:val="20"/>
        </w:rPr>
      </w:pPr>
      <w:hyperlink r:id="rId53">
        <w:r w:rsidR="00463931" w:rsidRPr="00801364">
          <w:rPr>
            <w:rStyle w:val="Hyperlink"/>
            <w:rFonts w:cstheme="minorHAnsi"/>
            <w:sz w:val="20"/>
            <w:szCs w:val="20"/>
          </w:rPr>
          <w:t>https://www.officeforstudents.org.uk/news-blog-and-events/press-and-media/digital-poverty-risks-leaving-students-behind/</w:t>
        </w:r>
      </w:hyperlink>
      <w:r w:rsidR="00463931" w:rsidRPr="00801364">
        <w:rPr>
          <w:rFonts w:cstheme="minorHAnsi"/>
          <w:sz w:val="20"/>
          <w:szCs w:val="20"/>
        </w:rPr>
        <w:t xml:space="preserve"> </w:t>
      </w:r>
    </w:p>
  </w:footnote>
  <w:footnote w:id="50">
    <w:p w14:paraId="76F519D0" w14:textId="43373CFD"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J. Tapper, ‘Covid pandemic sparks steep rise in number of people in UK with long-term illness’, The Observer, March 5, 2022 </w:t>
      </w:r>
      <w:hyperlink r:id="rId54">
        <w:r w:rsidRPr="00801364">
          <w:rPr>
            <w:rStyle w:val="Hyperlink"/>
            <w:rFonts w:cstheme="minorHAnsi"/>
            <w:sz w:val="20"/>
            <w:szCs w:val="20"/>
          </w:rPr>
          <w:t>https://www.theguardian.com/society/2022/mar/05/covid-pandemic-sparks-steep-rise-in-number-of-people-in-uk-with-long-term-illness</w:t>
        </w:r>
      </w:hyperlink>
      <w:r w:rsidRPr="00801364">
        <w:rPr>
          <w:rFonts w:cstheme="minorHAnsi"/>
          <w:sz w:val="20"/>
          <w:szCs w:val="20"/>
        </w:rPr>
        <w:t xml:space="preserve">; 'How should universities support students with long Covid?' (Aug 2021) </w:t>
      </w:r>
      <w:hyperlink r:id="rId55">
        <w:r w:rsidRPr="00801364">
          <w:rPr>
            <w:rStyle w:val="Hyperlink"/>
            <w:rFonts w:cstheme="minorHAnsi"/>
            <w:sz w:val="20"/>
            <w:szCs w:val="20"/>
          </w:rPr>
          <w:t>https://wonkhe.com/blogs/how-should-universities-support-students-with-long-covid/</w:t>
        </w:r>
      </w:hyperlink>
      <w:r w:rsidRPr="00801364">
        <w:rPr>
          <w:rFonts w:cstheme="minorHAnsi"/>
          <w:sz w:val="20"/>
          <w:szCs w:val="20"/>
        </w:rPr>
        <w:t xml:space="preserve">  (Dickinson, Jim, ''How should universities support students with long Covid?', </w:t>
      </w:r>
      <w:proofErr w:type="spellStart"/>
      <w:r w:rsidRPr="00801364">
        <w:rPr>
          <w:rFonts w:cstheme="minorHAnsi"/>
          <w:sz w:val="20"/>
          <w:szCs w:val="20"/>
        </w:rPr>
        <w:t>W</w:t>
      </w:r>
      <w:r w:rsidR="00336133" w:rsidRPr="00801364">
        <w:rPr>
          <w:rFonts w:cstheme="minorHAnsi"/>
          <w:sz w:val="20"/>
          <w:szCs w:val="20"/>
        </w:rPr>
        <w:t>onkhe</w:t>
      </w:r>
      <w:proofErr w:type="spellEnd"/>
      <w:r w:rsidRPr="00801364">
        <w:rPr>
          <w:rFonts w:cstheme="minorHAnsi"/>
          <w:sz w:val="20"/>
          <w:szCs w:val="20"/>
        </w:rPr>
        <w:t xml:space="preserve">, [accessed 10/08/22]); </w:t>
      </w:r>
    </w:p>
    <w:p w14:paraId="4B08BCA5" w14:textId="1CF42029" w:rsidR="0B4088E5" w:rsidRPr="00801364" w:rsidRDefault="0B4088E5" w:rsidP="00801364">
      <w:pPr>
        <w:rPr>
          <w:rFonts w:cstheme="minorHAnsi"/>
          <w:sz w:val="20"/>
          <w:szCs w:val="20"/>
        </w:rPr>
      </w:pPr>
      <w:r w:rsidRPr="00801364">
        <w:rPr>
          <w:rFonts w:cstheme="minorHAnsi"/>
          <w:sz w:val="20"/>
          <w:szCs w:val="20"/>
        </w:rPr>
        <w:t xml:space="preserve">'Prevalence of ongoing symptoms following coronavirus (COVID-19) infection in the UK: 4 August 2022 </w:t>
      </w:r>
      <w:hyperlink r:id="rId56" w:anchor="prevalence-of-ongoing-symptoms-in-the-population-aged-16-years-and-over-by-employment-status">
        <w:r w:rsidRPr="00801364">
          <w:rPr>
            <w:rStyle w:val="Hyperlink"/>
            <w:rFonts w:cstheme="minorHAnsi"/>
            <w:sz w:val="20"/>
            <w:szCs w:val="20"/>
          </w:rPr>
          <w:t>https://www.ons.gov.uk/peoplepopulationandcommunity/healthandsocialcare/conditionsanddiseases/bulletins/prevalenceofongoingsymptomsfollowingcoronaviruscovid19infectionintheuk/4august2022#prevalence-of-ongoing-symptoms-in-the-population-aged-16-years-and-over-by-employment-status</w:t>
        </w:r>
      </w:hyperlink>
      <w:r w:rsidRPr="00801364">
        <w:rPr>
          <w:rFonts w:cstheme="minorHAnsi"/>
          <w:sz w:val="20"/>
          <w:szCs w:val="20"/>
        </w:rPr>
        <w:t xml:space="preserve"> </w:t>
      </w:r>
    </w:p>
  </w:footnote>
  <w:footnote w:id="51">
    <w:p w14:paraId="758B293B" w14:textId="52F11ABB"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Welsh Parliament: Children, Young </w:t>
      </w:r>
      <w:proofErr w:type="gramStart"/>
      <w:r w:rsidRPr="00801364">
        <w:rPr>
          <w:rFonts w:cstheme="minorHAnsi"/>
          <w:sz w:val="20"/>
          <w:szCs w:val="20"/>
        </w:rPr>
        <w:t>people</w:t>
      </w:r>
      <w:proofErr w:type="gramEnd"/>
      <w:r w:rsidRPr="00801364">
        <w:rPr>
          <w:rFonts w:cstheme="minorHAnsi"/>
          <w:sz w:val="20"/>
          <w:szCs w:val="20"/>
        </w:rPr>
        <w:t xml:space="preserve"> and Education Committee, ‘Mental health support in Higher Education’ (March 2023): </w:t>
      </w:r>
      <w:hyperlink r:id="rId57">
        <w:r w:rsidRPr="00801364">
          <w:rPr>
            <w:rStyle w:val="Hyperlink"/>
            <w:rFonts w:cstheme="minorHAnsi"/>
            <w:sz w:val="20"/>
            <w:szCs w:val="20"/>
          </w:rPr>
          <w:t>https://senedd.wales/media/mdzljae3/cr-ld15768-e.pdf</w:t>
        </w:r>
      </w:hyperlink>
      <w:r w:rsidRPr="00801364">
        <w:rPr>
          <w:rFonts w:cstheme="minorHAnsi"/>
          <w:sz w:val="20"/>
          <w:szCs w:val="20"/>
        </w:rPr>
        <w:t xml:space="preserve"> </w:t>
      </w:r>
    </w:p>
  </w:footnote>
  <w:footnote w:id="52">
    <w:p w14:paraId="3EC78268" w14:textId="018890CA"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Disabled Students' Commission: Exploring the impact of Covid-19 on disabled students' experiences: in-depth qualitative report (Aug 2021) </w:t>
      </w:r>
      <w:hyperlink r:id="rId58">
        <w:r w:rsidRPr="00801364">
          <w:rPr>
            <w:rStyle w:val="Hyperlink"/>
            <w:rFonts w:cstheme="minorHAnsi"/>
            <w:sz w:val="20"/>
            <w:szCs w:val="20"/>
          </w:rPr>
          <w:t>https://advance-he.ac.uk/knowledge-hub/exploring-impact-covid-19-disabled-students-experiences</w:t>
        </w:r>
      </w:hyperlink>
      <w:r w:rsidRPr="00801364">
        <w:rPr>
          <w:rFonts w:cstheme="minorHAnsi"/>
          <w:sz w:val="20"/>
          <w:szCs w:val="20"/>
        </w:rPr>
        <w:t xml:space="preserve"> </w:t>
      </w:r>
    </w:p>
    <w:p w14:paraId="36019754" w14:textId="6F982F6C" w:rsidR="0B4088E5" w:rsidRPr="00801364" w:rsidRDefault="0B4088E5" w:rsidP="00801364">
      <w:pPr>
        <w:rPr>
          <w:rFonts w:cstheme="minorHAnsi"/>
          <w:sz w:val="20"/>
          <w:szCs w:val="20"/>
        </w:rPr>
      </w:pPr>
      <w:r w:rsidRPr="00801364">
        <w:rPr>
          <w:rFonts w:cstheme="minorHAnsi"/>
          <w:sz w:val="20"/>
          <w:szCs w:val="20"/>
        </w:rPr>
        <w:t>Disabled Students' Commission: Exploring the impact of Covid-19 on disabled students' experiences: in-depth qualitative report (</w:t>
      </w:r>
      <w:r w:rsidR="00801364" w:rsidRPr="00801364">
        <w:rPr>
          <w:rFonts w:cstheme="minorHAnsi"/>
          <w:sz w:val="20"/>
          <w:szCs w:val="20"/>
        </w:rPr>
        <w:t>Jan</w:t>
      </w:r>
      <w:r w:rsidRPr="00801364">
        <w:rPr>
          <w:rFonts w:cstheme="minorHAnsi"/>
          <w:sz w:val="20"/>
          <w:szCs w:val="20"/>
        </w:rPr>
        <w:t xml:space="preserve"> 2022) – follow up report </w:t>
      </w:r>
      <w:hyperlink r:id="rId59">
        <w:r w:rsidRPr="00801364">
          <w:rPr>
            <w:rStyle w:val="Hyperlink"/>
            <w:rFonts w:cstheme="minorHAnsi"/>
            <w:sz w:val="20"/>
            <w:szCs w:val="20"/>
          </w:rPr>
          <w:t>https://advance-he.ac.uk/knowledge-hub/exploring-impact-covid-19-disabled-students-experiences-depth-qualitative-report</w:t>
        </w:r>
      </w:hyperlink>
      <w:r w:rsidRPr="00801364">
        <w:rPr>
          <w:rFonts w:cstheme="minorHAnsi"/>
          <w:sz w:val="20"/>
          <w:szCs w:val="20"/>
        </w:rPr>
        <w:t xml:space="preserve"> </w:t>
      </w:r>
    </w:p>
  </w:footnote>
  <w:footnote w:id="53">
    <w:p w14:paraId="1D15C3EC" w14:textId="77777777"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DfE Report: Understanding Progress in the 2020/21 Academic Year: Extension report covering the first half of the autumn term 2021/22 (March 2022) </w:t>
      </w:r>
      <w:hyperlink r:id="rId60">
        <w:r w:rsidRPr="00801364">
          <w:rPr>
            <w:rStyle w:val="Hyperlink"/>
            <w:rFonts w:cstheme="minorHAnsi"/>
            <w:sz w:val="20"/>
            <w:szCs w:val="20"/>
          </w:rPr>
          <w:t>https://assets.publishing.service.gov.uk/government/uploads/system/uploads/attachment_data/file/1063488/Understanding_Progress_in_the_2020_to_2021_Academic_Year_Extension_report_covering_the_first_half_of_the_autumn_term_2021.pdf</w:t>
        </w:r>
      </w:hyperlink>
      <w:r w:rsidRPr="00801364">
        <w:rPr>
          <w:rFonts w:cstheme="minorHAnsi"/>
          <w:sz w:val="20"/>
          <w:szCs w:val="20"/>
        </w:rPr>
        <w:t xml:space="preserve"> </w:t>
      </w:r>
    </w:p>
    <w:p w14:paraId="0AC62A84" w14:textId="4A86AEF7" w:rsidR="0B4088E5" w:rsidRPr="00801364" w:rsidRDefault="0B4088E5" w:rsidP="00801364">
      <w:pPr>
        <w:pStyle w:val="FootnoteText"/>
        <w:rPr>
          <w:rFonts w:cstheme="minorHAnsi"/>
        </w:rPr>
      </w:pPr>
      <w:r w:rsidRPr="00801364">
        <w:rPr>
          <w:rFonts w:cstheme="minorHAnsi"/>
        </w:rPr>
        <w:t>EPI research for the Department for Education on pupil learning loss (March 2022)</w:t>
      </w:r>
    </w:p>
  </w:footnote>
  <w:footnote w:id="54">
    <w:p w14:paraId="2C090437" w14:textId="2D52C786"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Guardian: Homeless students on rise in UK amid cost of living crisis (July 2022) </w:t>
      </w:r>
      <w:hyperlink r:id="rId61">
        <w:r w:rsidRPr="00801364">
          <w:rPr>
            <w:rStyle w:val="Hyperlink"/>
            <w:rFonts w:cstheme="minorHAnsi"/>
            <w:sz w:val="20"/>
            <w:szCs w:val="20"/>
          </w:rPr>
          <w:t>https://www.theguardian.com/education/2022/jul/21/homeless-students-uk-cost-of-living-crisis</w:t>
        </w:r>
      </w:hyperlink>
      <w:r w:rsidRPr="00801364">
        <w:rPr>
          <w:rFonts w:cstheme="minorHAnsi"/>
          <w:sz w:val="20"/>
          <w:szCs w:val="20"/>
        </w:rPr>
        <w:t xml:space="preserve">; Accommodation Costs Survey (2021) </w:t>
      </w:r>
      <w:hyperlink r:id="rId62">
        <w:r w:rsidRPr="00801364">
          <w:rPr>
            <w:rStyle w:val="Hyperlink"/>
            <w:rFonts w:cstheme="minorHAnsi"/>
            <w:sz w:val="20"/>
            <w:szCs w:val="20"/>
          </w:rPr>
          <w:t>https://www.unipol.org.uk/acsreport2021</w:t>
        </w:r>
      </w:hyperlink>
      <w:r w:rsidRPr="00801364">
        <w:rPr>
          <w:rFonts w:cstheme="minorHAnsi"/>
          <w:sz w:val="20"/>
          <w:szCs w:val="20"/>
        </w:rPr>
        <w:t xml:space="preserve"> </w:t>
      </w:r>
    </w:p>
  </w:footnote>
  <w:footnote w:id="55">
    <w:p w14:paraId="165ADCF6" w14:textId="1F1EDD45"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'House of Commons Library: The Value of Student Maintenance Support' (April 2022) </w:t>
      </w:r>
      <w:hyperlink r:id="rId63">
        <w:r w:rsidRPr="00801364">
          <w:rPr>
            <w:rStyle w:val="Hyperlink"/>
            <w:rFonts w:cstheme="minorHAnsi"/>
            <w:sz w:val="20"/>
            <w:szCs w:val="20"/>
          </w:rPr>
          <w:t>https://researchbriefings.files.parliament.uk/documents/SN00916/SN00916.pdf</w:t>
        </w:r>
      </w:hyperlink>
      <w:r w:rsidRPr="00801364">
        <w:rPr>
          <w:rFonts w:cstheme="minorHAnsi"/>
          <w:sz w:val="20"/>
          <w:szCs w:val="20"/>
        </w:rPr>
        <w:t xml:space="preserve">; 'Government uses high inflation as cover for hitting students, graduates and universities' (Feb 2022) </w:t>
      </w:r>
      <w:hyperlink r:id="rId64">
        <w:r w:rsidRPr="00801364">
          <w:rPr>
            <w:rStyle w:val="Hyperlink"/>
            <w:rFonts w:cstheme="minorHAnsi"/>
            <w:sz w:val="20"/>
            <w:szCs w:val="20"/>
          </w:rPr>
          <w:t>https://ifs.org.uk/publications/15940</w:t>
        </w:r>
      </w:hyperlink>
      <w:r w:rsidRPr="00801364">
        <w:rPr>
          <w:rFonts w:cstheme="minorHAnsi"/>
          <w:sz w:val="20"/>
          <w:szCs w:val="20"/>
        </w:rPr>
        <w:t xml:space="preserve"> </w:t>
      </w:r>
    </w:p>
  </w:footnote>
  <w:footnote w:id="56">
    <w:p w14:paraId="1AE46353" w14:textId="4F05C7E1"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NUS – Broke: How Scotland is failing its students (May 2022)</w:t>
      </w:r>
      <w:r w:rsidR="006C0583" w:rsidRPr="00801364">
        <w:rPr>
          <w:rFonts w:cstheme="minorHAnsi"/>
          <w:sz w:val="20"/>
          <w:szCs w:val="20"/>
        </w:rPr>
        <w:t xml:space="preserve"> </w:t>
      </w:r>
      <w:hyperlink r:id="rId65" w:history="1">
        <w:r w:rsidR="006C0583" w:rsidRPr="00801364">
          <w:rPr>
            <w:rStyle w:val="Hyperlink"/>
            <w:rFonts w:cstheme="minorHAnsi"/>
            <w:sz w:val="20"/>
            <w:szCs w:val="20"/>
          </w:rPr>
          <w:t>https://www.nus-scotland.org.uk/alarming-research-on-student-poverty</w:t>
        </w:r>
      </w:hyperlink>
    </w:p>
  </w:footnote>
  <w:footnote w:id="57">
    <w:p w14:paraId="2F8CEF07" w14:textId="0EF75988" w:rsidR="0B4088E5" w:rsidRPr="00801364" w:rsidRDefault="0B4088E5"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'Student Poverty: A Short Practical Guide for University Lecturers' (Aug 2022) </w:t>
      </w:r>
      <w:hyperlink r:id="rId66">
        <w:r w:rsidRPr="00801364">
          <w:rPr>
            <w:rStyle w:val="Hyperlink"/>
            <w:rFonts w:cstheme="minorHAnsi"/>
            <w:sz w:val="20"/>
            <w:szCs w:val="20"/>
          </w:rPr>
          <w:t>https://docs.google.com/document/d/1mZCkUhywCFq55NocZnUuEgLd57VrZKpv_4gB29ifep0/edit#</w:t>
        </w:r>
      </w:hyperlink>
      <w:r w:rsidRPr="00801364">
        <w:rPr>
          <w:rFonts w:cstheme="minorHAnsi"/>
          <w:sz w:val="20"/>
          <w:szCs w:val="20"/>
        </w:rPr>
        <w:t xml:space="preserve"> </w:t>
      </w:r>
    </w:p>
  </w:footnote>
  <w:footnote w:id="58">
    <w:p w14:paraId="51CC789F" w14:textId="77777777" w:rsidR="007C15B0" w:rsidRPr="00801364" w:rsidRDefault="007C15B0"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Advance HE, </w:t>
      </w:r>
      <w:r w:rsidRPr="00801364">
        <w:rPr>
          <w:rFonts w:cstheme="minorHAnsi"/>
          <w:i/>
          <w:iCs/>
          <w:sz w:val="20"/>
          <w:szCs w:val="20"/>
        </w:rPr>
        <w:t>Inclusive learning and teaching in HE</w:t>
      </w:r>
      <w:r w:rsidRPr="00801364">
        <w:rPr>
          <w:rFonts w:cstheme="minorHAnsi"/>
          <w:sz w:val="20"/>
          <w:szCs w:val="20"/>
        </w:rPr>
        <w:t xml:space="preserve"> (2010) </w:t>
      </w:r>
      <w:hyperlink r:id="rId67">
        <w:r w:rsidRPr="00801364">
          <w:rPr>
            <w:rStyle w:val="Hyperlink"/>
            <w:rFonts w:cstheme="minorHAnsi"/>
            <w:sz w:val="20"/>
            <w:szCs w:val="20"/>
          </w:rPr>
          <w:t>https://www.advance-he.ac.uk/knowledge-hub/inclusive-learning-and-teaching-higher-education</w:t>
        </w:r>
      </w:hyperlink>
      <w:r w:rsidRPr="00801364">
        <w:rPr>
          <w:rFonts w:cstheme="minorHAnsi"/>
          <w:sz w:val="20"/>
          <w:szCs w:val="20"/>
        </w:rPr>
        <w:t xml:space="preserve">; DfE report: Inclusive teaching and learning in HE (2017) </w:t>
      </w:r>
    </w:p>
    <w:p w14:paraId="2C3C436E" w14:textId="77777777" w:rsidR="007C15B0" w:rsidRPr="00801364" w:rsidRDefault="00000000" w:rsidP="00801364">
      <w:pPr>
        <w:rPr>
          <w:rFonts w:cstheme="minorHAnsi"/>
          <w:sz w:val="20"/>
          <w:szCs w:val="20"/>
        </w:rPr>
      </w:pPr>
      <w:hyperlink r:id="rId68">
        <w:r w:rsidR="007C15B0" w:rsidRPr="00801364">
          <w:rPr>
            <w:rStyle w:val="Hyperlink"/>
            <w:rFonts w:cstheme="minorHAnsi"/>
            <w:sz w:val="20"/>
            <w:szCs w:val="20"/>
          </w:rPr>
          <w:t>https://www.gov.uk/government/publications/inclusive-teaching-and-learning-in-higher-education</w:t>
        </w:r>
      </w:hyperlink>
      <w:r w:rsidR="007C15B0" w:rsidRPr="00801364">
        <w:rPr>
          <w:rFonts w:cstheme="minorHAnsi"/>
          <w:sz w:val="20"/>
          <w:szCs w:val="20"/>
        </w:rPr>
        <w:t xml:space="preserve">; UCL, Inclusive Curriculum Health Check (2018) </w:t>
      </w:r>
      <w:hyperlink r:id="rId69">
        <w:r w:rsidR="007C15B0" w:rsidRPr="00801364">
          <w:rPr>
            <w:rStyle w:val="Hyperlink"/>
            <w:rFonts w:cstheme="minorHAnsi"/>
            <w:sz w:val="20"/>
            <w:szCs w:val="20"/>
          </w:rPr>
          <w:t>https://www.ucl.ac.uk/teaching-learning/sites/teaching-learning/files/ucl_inclusive_curriculum_healthcheck_2018.pdf</w:t>
        </w:r>
      </w:hyperlink>
    </w:p>
  </w:footnote>
  <w:footnote w:id="59">
    <w:p w14:paraId="1EF39A5F" w14:textId="77777777" w:rsidR="007C15B0" w:rsidRPr="00801364" w:rsidRDefault="007C15B0" w:rsidP="00801364">
      <w:pPr>
        <w:pStyle w:val="FootnoteText"/>
        <w:rPr>
          <w:rFonts w:cstheme="minorHAnsi"/>
        </w:rPr>
      </w:pPr>
      <w:r w:rsidRPr="00801364">
        <w:rPr>
          <w:rStyle w:val="FootnoteReference"/>
          <w:rFonts w:cstheme="minorHAnsi"/>
        </w:rPr>
        <w:footnoteRef/>
      </w:r>
      <w:r w:rsidRPr="00801364">
        <w:rPr>
          <w:rFonts w:cstheme="minorHAnsi"/>
        </w:rPr>
        <w:t xml:space="preserve"> Advance HE, </w:t>
      </w:r>
      <w:r w:rsidRPr="00801364">
        <w:rPr>
          <w:rFonts w:cstheme="minorHAnsi"/>
          <w:i/>
          <w:iCs/>
        </w:rPr>
        <w:t>Inclusive learning and teaching in HE</w:t>
      </w:r>
      <w:r w:rsidRPr="00801364">
        <w:rPr>
          <w:rFonts w:cstheme="minorHAnsi"/>
        </w:rPr>
        <w:t xml:space="preserve"> (2010) </w:t>
      </w:r>
      <w:hyperlink r:id="rId70">
        <w:r w:rsidRPr="00801364">
          <w:rPr>
            <w:rStyle w:val="Hyperlink"/>
            <w:rFonts w:cstheme="minorHAnsi"/>
          </w:rPr>
          <w:t>https://www.advance-he.ac.uk/knowledge-hub/inclusive-learning-and-teaching-higher-education</w:t>
        </w:r>
      </w:hyperlink>
    </w:p>
  </w:footnote>
  <w:footnote w:id="60">
    <w:p w14:paraId="18D31554" w14:textId="7690F0FB" w:rsidR="00700B31" w:rsidRPr="00801364" w:rsidRDefault="00700B31" w:rsidP="00801364">
      <w:pPr>
        <w:pStyle w:val="FootnoteText"/>
        <w:rPr>
          <w:rFonts w:cstheme="minorHAnsi"/>
        </w:rPr>
      </w:pPr>
      <w:r w:rsidRPr="00801364">
        <w:rPr>
          <w:rStyle w:val="FootnoteReference"/>
          <w:rFonts w:cstheme="minorHAnsi"/>
          <w:color w:val="000000" w:themeColor="text1"/>
        </w:rPr>
        <w:footnoteRef/>
      </w:r>
      <w:r w:rsidRPr="00801364">
        <w:rPr>
          <w:rFonts w:cstheme="minorHAnsi"/>
          <w:color w:val="000000" w:themeColor="text1"/>
        </w:rPr>
        <w:t xml:space="preserve"> Studies are numerous but those focus on the arts and humanities include S. Richardson, ‘History’, in S. Marshall (ed), </w:t>
      </w:r>
      <w:r w:rsidRPr="00801364">
        <w:rPr>
          <w:rFonts w:cstheme="minorHAnsi"/>
          <w:i/>
          <w:iCs/>
          <w:color w:val="000000" w:themeColor="text1"/>
        </w:rPr>
        <w:t>A Handbook for Teaching and Learning in Higher Education: Enhancing Academic Practice</w:t>
      </w:r>
      <w:r w:rsidRPr="00801364">
        <w:rPr>
          <w:rFonts w:cstheme="minorHAnsi"/>
          <w:color w:val="000000" w:themeColor="text1"/>
        </w:rPr>
        <w:t xml:space="preserve"> (5</w:t>
      </w:r>
      <w:r w:rsidRPr="00801364">
        <w:rPr>
          <w:rFonts w:cstheme="minorHAnsi"/>
          <w:color w:val="000000" w:themeColor="text1"/>
          <w:vertAlign w:val="superscript"/>
        </w:rPr>
        <w:t>th</w:t>
      </w:r>
      <w:r w:rsidRPr="00801364">
        <w:rPr>
          <w:rFonts w:cstheme="minorHAnsi"/>
          <w:color w:val="000000" w:themeColor="text1"/>
        </w:rPr>
        <w:t xml:space="preserve"> edition, Routledge, Abingdon, 2019); R. Carballo, </w:t>
      </w:r>
      <w:proofErr w:type="spellStart"/>
      <w:r w:rsidRPr="00801364">
        <w:rPr>
          <w:rFonts w:cstheme="minorHAnsi"/>
          <w:color w:val="000000" w:themeColor="text1"/>
        </w:rPr>
        <w:t>A.Cotán</w:t>
      </w:r>
      <w:proofErr w:type="spellEnd"/>
      <w:r w:rsidRPr="00801364">
        <w:rPr>
          <w:rFonts w:cstheme="minorHAnsi"/>
          <w:color w:val="000000" w:themeColor="text1"/>
        </w:rPr>
        <w:t xml:space="preserve"> and Y. </w:t>
      </w:r>
      <w:proofErr w:type="spellStart"/>
      <w:r w:rsidRPr="00801364">
        <w:rPr>
          <w:rFonts w:cstheme="minorHAnsi"/>
          <w:color w:val="000000" w:themeColor="text1"/>
        </w:rPr>
        <w:t>Spinola</w:t>
      </w:r>
      <w:proofErr w:type="spellEnd"/>
      <w:r w:rsidRPr="00801364">
        <w:rPr>
          <w:rFonts w:cstheme="minorHAnsi"/>
          <w:color w:val="000000" w:themeColor="text1"/>
        </w:rPr>
        <w:t xml:space="preserve">-Elias, ‘An inclusive pedagogy in Arts and Humanities universities classrooms: what faculty members do’, </w:t>
      </w:r>
      <w:r w:rsidRPr="00801364">
        <w:rPr>
          <w:rFonts w:cstheme="minorHAnsi"/>
          <w:i/>
          <w:iCs/>
          <w:color w:val="000000" w:themeColor="text1"/>
        </w:rPr>
        <w:t>Arts and Humanities in Higher Education</w:t>
      </w:r>
      <w:r w:rsidRPr="00801364">
        <w:rPr>
          <w:rFonts w:cstheme="minorHAnsi"/>
          <w:color w:val="000000" w:themeColor="text1"/>
        </w:rPr>
        <w:t xml:space="preserve">, 20:1 (2021), pp. 21-41; T.E. Richardson, ‘The under-attainment of ethnic minority students in UK higher education: what we know and what we don’t know’, </w:t>
      </w:r>
      <w:r w:rsidRPr="00801364">
        <w:rPr>
          <w:rFonts w:cstheme="minorHAnsi"/>
          <w:i/>
          <w:iCs/>
          <w:color w:val="000000" w:themeColor="text1"/>
        </w:rPr>
        <w:t>Journal of Further and Higher Education</w:t>
      </w:r>
      <w:r w:rsidRPr="00801364">
        <w:rPr>
          <w:rFonts w:cstheme="minorHAnsi"/>
          <w:color w:val="000000" w:themeColor="text1"/>
        </w:rPr>
        <w:t>, 39:2 (2015), pp. 278-291</w:t>
      </w:r>
      <w:r w:rsidR="00811763" w:rsidRPr="00801364">
        <w:rPr>
          <w:rFonts w:cstheme="minorHAnsi"/>
          <w:color w:val="000000" w:themeColor="text1"/>
        </w:rPr>
        <w:t>.</w:t>
      </w:r>
    </w:p>
  </w:footnote>
  <w:footnote w:id="61">
    <w:p w14:paraId="5DE1694A" w14:textId="77777777" w:rsidR="008F0B35" w:rsidRPr="00801364" w:rsidRDefault="008F0B35" w:rsidP="00801364">
      <w:pPr>
        <w:pStyle w:val="FootnoteText"/>
        <w:rPr>
          <w:rFonts w:cstheme="minorHAnsi"/>
        </w:rPr>
      </w:pPr>
      <w:r w:rsidRPr="00801364">
        <w:rPr>
          <w:rStyle w:val="FootnoteReference"/>
          <w:rFonts w:cstheme="minorHAnsi"/>
        </w:rPr>
        <w:footnoteRef/>
      </w:r>
      <w:r w:rsidRPr="00801364">
        <w:rPr>
          <w:rFonts w:cstheme="minorHAnsi"/>
        </w:rPr>
        <w:t xml:space="preserve"> A. Booth, </w:t>
      </w:r>
      <w:r w:rsidRPr="00801364">
        <w:rPr>
          <w:rFonts w:cstheme="minorHAnsi"/>
          <w:i/>
          <w:iCs/>
        </w:rPr>
        <w:t>History Teaching at its Best</w:t>
      </w:r>
      <w:r w:rsidRPr="00801364">
        <w:rPr>
          <w:rFonts w:cstheme="minorHAnsi"/>
        </w:rPr>
        <w:t xml:space="preserve"> (2014)</w:t>
      </w:r>
    </w:p>
  </w:footnote>
  <w:footnote w:id="62">
    <w:p w14:paraId="2B9118DF" w14:textId="77777777" w:rsidR="008F0B35" w:rsidRPr="00801364" w:rsidRDefault="008F0B35" w:rsidP="00801364">
      <w:pPr>
        <w:rPr>
          <w:rFonts w:cstheme="minorHAnsi"/>
          <w:color w:val="000000" w:themeColor="text1"/>
          <w:sz w:val="20"/>
          <w:szCs w:val="20"/>
        </w:rPr>
      </w:pPr>
      <w:r w:rsidRPr="00801364">
        <w:rPr>
          <w:rStyle w:val="FootnoteReference"/>
          <w:rFonts w:cstheme="minorHAnsi"/>
          <w:sz w:val="20"/>
          <w:szCs w:val="20"/>
        </w:rPr>
        <w:footnoteRef/>
      </w:r>
      <w:r w:rsidRPr="00801364">
        <w:rPr>
          <w:rFonts w:cstheme="minorHAnsi"/>
          <w:sz w:val="20"/>
          <w:szCs w:val="20"/>
        </w:rPr>
        <w:t xml:space="preserve"> </w:t>
      </w:r>
      <w:r w:rsidRPr="00801364">
        <w:rPr>
          <w:rFonts w:cstheme="minorHAnsi"/>
          <w:color w:val="000000" w:themeColor="text1"/>
          <w:sz w:val="20"/>
          <w:szCs w:val="20"/>
        </w:rPr>
        <w:t>Adele Nye and Jennifer Clark,</w:t>
      </w:r>
      <w:r w:rsidRPr="00801364">
        <w:rPr>
          <w:rFonts w:cstheme="minorHAnsi"/>
          <w:i/>
          <w:iCs/>
          <w:color w:val="000000" w:themeColor="text1"/>
          <w:sz w:val="20"/>
          <w:szCs w:val="20"/>
        </w:rPr>
        <w:t xml:space="preserve"> Teaching History for the contemporary world: Tensions, Challenges and Classroom Experiences in Higher Education</w:t>
      </w:r>
      <w:r w:rsidRPr="00801364">
        <w:rPr>
          <w:rFonts w:cstheme="minorHAnsi"/>
          <w:color w:val="000000" w:themeColor="text1"/>
          <w:sz w:val="20"/>
          <w:szCs w:val="20"/>
        </w:rPr>
        <w:t xml:space="preserve"> (2021).</w:t>
      </w:r>
    </w:p>
  </w:footnote>
  <w:footnote w:id="63">
    <w:p w14:paraId="7873E672" w14:textId="77777777" w:rsidR="008F0B35" w:rsidRPr="00801364" w:rsidRDefault="008F0B35" w:rsidP="00801364">
      <w:pPr>
        <w:pStyle w:val="FootnoteText"/>
        <w:rPr>
          <w:rFonts w:cstheme="minorHAnsi"/>
        </w:rPr>
      </w:pPr>
      <w:r w:rsidRPr="00801364">
        <w:rPr>
          <w:rStyle w:val="FootnoteReference"/>
          <w:rFonts w:cstheme="minorHAnsi"/>
          <w:color w:val="000000" w:themeColor="text1"/>
        </w:rPr>
        <w:footnoteRef/>
      </w:r>
      <w:r w:rsidRPr="00801364">
        <w:rPr>
          <w:rFonts w:cstheme="minorHAnsi"/>
          <w:color w:val="000000" w:themeColor="text1"/>
        </w:rPr>
        <w:t xml:space="preserve"> O. Gust, 'Foregrounding Difference' in Adele Nye and Jennifer Clark,</w:t>
      </w:r>
      <w:r w:rsidRPr="00801364">
        <w:rPr>
          <w:rFonts w:cstheme="minorHAnsi"/>
          <w:i/>
          <w:iCs/>
          <w:color w:val="000000" w:themeColor="text1"/>
        </w:rPr>
        <w:t xml:space="preserve"> Teaching History for the contemporary world: Tensions, Challenges and Classroom Experiences in Higher Education</w:t>
      </w:r>
      <w:r w:rsidRPr="00801364">
        <w:rPr>
          <w:rFonts w:cstheme="minorHAnsi"/>
          <w:color w:val="000000" w:themeColor="text1"/>
        </w:rPr>
        <w:t xml:space="preserve"> (2021).</w:t>
      </w:r>
    </w:p>
  </w:footnote>
  <w:footnote w:id="64">
    <w:p w14:paraId="115C8F8A" w14:textId="11B9E4E2" w:rsidR="008F0B35" w:rsidRPr="00801364" w:rsidRDefault="008F0B35" w:rsidP="00801364">
      <w:pPr>
        <w:pStyle w:val="FootnoteText"/>
        <w:rPr>
          <w:rFonts w:cstheme="minorHAnsi"/>
        </w:rPr>
      </w:pPr>
      <w:r w:rsidRPr="00801364">
        <w:rPr>
          <w:rStyle w:val="FootnoteReference"/>
          <w:rFonts w:cstheme="minorHAnsi"/>
          <w:color w:val="000000" w:themeColor="text1"/>
        </w:rPr>
        <w:footnoteRef/>
      </w:r>
      <w:r w:rsidRPr="00801364">
        <w:rPr>
          <w:rFonts w:cstheme="minorHAnsi"/>
          <w:color w:val="000000" w:themeColor="text1"/>
        </w:rPr>
        <w:t xml:space="preserve"> Gust, 'Foregrounding Difference'.</w:t>
      </w:r>
    </w:p>
  </w:footnote>
  <w:footnote w:id="65">
    <w:p w14:paraId="26FB58CE" w14:textId="6E8E8ADC" w:rsidR="008F0B35" w:rsidRPr="00801364" w:rsidRDefault="008F0B35" w:rsidP="00801364">
      <w:pPr>
        <w:pStyle w:val="NormalWeb"/>
        <w:spacing w:after="150"/>
        <w:rPr>
          <w:rFonts w:asciiTheme="minorHAnsi" w:hAnsiTheme="minorHAnsi" w:cstheme="minorHAnsi"/>
          <w:color w:val="000000" w:themeColor="text1"/>
          <w:sz w:val="20"/>
          <w:szCs w:val="20"/>
        </w:rPr>
      </w:pPr>
      <w:r w:rsidRPr="00801364">
        <w:rPr>
          <w:rStyle w:val="FootnoteReference"/>
          <w:rFonts w:asciiTheme="minorHAnsi" w:hAnsiTheme="minorHAnsi" w:cstheme="minorHAnsi"/>
          <w:color w:val="000000" w:themeColor="text1"/>
          <w:sz w:val="20"/>
          <w:szCs w:val="20"/>
        </w:rPr>
        <w:footnoteRef/>
      </w:r>
      <w:r w:rsidRPr="00801364">
        <w:rPr>
          <w:rFonts w:asciiTheme="minorHAnsi" w:hAnsiTheme="minorHAnsi" w:cstheme="minorHAnsi"/>
          <w:color w:val="000000" w:themeColor="text1"/>
          <w:sz w:val="20"/>
          <w:szCs w:val="20"/>
        </w:rPr>
        <w:t xml:space="preserve"> Mark Hinton and </w:t>
      </w:r>
      <w:proofErr w:type="spellStart"/>
      <w:r w:rsidRPr="00801364">
        <w:rPr>
          <w:rFonts w:asciiTheme="minorHAnsi" w:hAnsiTheme="minorHAnsi" w:cstheme="minorHAnsi"/>
          <w:color w:val="000000" w:themeColor="text1"/>
          <w:sz w:val="20"/>
          <w:szCs w:val="20"/>
        </w:rPr>
        <w:t>Meleisa</w:t>
      </w:r>
      <w:proofErr w:type="spellEnd"/>
      <w:r w:rsidRPr="00801364">
        <w:rPr>
          <w:rFonts w:asciiTheme="minorHAnsi" w:hAnsiTheme="minorHAnsi" w:cstheme="minorHAnsi"/>
          <w:color w:val="000000" w:themeColor="text1"/>
          <w:sz w:val="20"/>
          <w:szCs w:val="20"/>
        </w:rPr>
        <w:t xml:space="preserve"> Ono-George, 'Teaching a </w:t>
      </w:r>
      <w:proofErr w:type="gramStart"/>
      <w:r w:rsidRPr="00801364">
        <w:rPr>
          <w:rFonts w:asciiTheme="minorHAnsi" w:hAnsiTheme="minorHAnsi" w:cstheme="minorHAnsi"/>
          <w:color w:val="000000" w:themeColor="text1"/>
          <w:sz w:val="20"/>
          <w:szCs w:val="20"/>
        </w:rPr>
        <w:t>History</w:t>
      </w:r>
      <w:proofErr w:type="gramEnd"/>
      <w:r w:rsidRPr="00801364">
        <w:rPr>
          <w:rFonts w:asciiTheme="minorHAnsi" w:hAnsiTheme="minorHAnsi" w:cstheme="minorHAnsi"/>
          <w:color w:val="000000" w:themeColor="text1"/>
          <w:sz w:val="20"/>
          <w:szCs w:val="20"/>
        </w:rPr>
        <w:t xml:space="preserve"> of "Race" and Anti-Racist Action in an Academic </w:t>
      </w:r>
      <w:r w:rsidR="00CB12F2" w:rsidRPr="00801364">
        <w:rPr>
          <w:rFonts w:asciiTheme="minorHAnsi" w:hAnsiTheme="minorHAnsi" w:cstheme="minorHAnsi"/>
          <w:color w:val="000000" w:themeColor="text1"/>
          <w:sz w:val="20"/>
          <w:szCs w:val="20"/>
        </w:rPr>
        <w:t>Classroom’</w:t>
      </w:r>
      <w:r w:rsidRPr="00801364">
        <w:rPr>
          <w:rFonts w:asciiTheme="minorHAnsi" w:hAnsiTheme="minorHAnsi" w:cstheme="minorHAnsi"/>
          <w:color w:val="000000" w:themeColor="text1"/>
          <w:sz w:val="20"/>
          <w:szCs w:val="20"/>
        </w:rPr>
        <w:t>,</w:t>
      </w:r>
      <w:r w:rsidRPr="00801364">
        <w:rPr>
          <w:rStyle w:val="apple-converted-space"/>
          <w:rFonts w:asciiTheme="minorHAnsi" w:hAnsiTheme="minorHAnsi" w:cstheme="minorHAnsi"/>
          <w:color w:val="000000" w:themeColor="text1"/>
          <w:sz w:val="20"/>
          <w:szCs w:val="20"/>
        </w:rPr>
        <w:t> </w:t>
      </w:r>
      <w:r w:rsidRPr="00801364">
        <w:rPr>
          <w:rStyle w:val="Emphasis"/>
          <w:rFonts w:asciiTheme="minorHAnsi" w:hAnsiTheme="minorHAnsi" w:cstheme="minorHAnsi"/>
          <w:color w:val="000000" w:themeColor="text1"/>
          <w:sz w:val="20"/>
          <w:szCs w:val="20"/>
        </w:rPr>
        <w:t>Area</w:t>
      </w:r>
      <w:r w:rsidRPr="00801364">
        <w:rPr>
          <w:rFonts w:asciiTheme="minorHAnsi" w:hAnsiTheme="minorHAnsi" w:cstheme="minorHAnsi"/>
          <w:color w:val="000000" w:themeColor="text1"/>
          <w:sz w:val="20"/>
          <w:szCs w:val="20"/>
        </w:rPr>
        <w:t>, 20, 52 (2020), p. 217.</w:t>
      </w:r>
    </w:p>
  </w:footnote>
  <w:footnote w:id="66">
    <w:p w14:paraId="138AAF1B" w14:textId="65793061" w:rsidR="008F0B35" w:rsidRPr="00801364" w:rsidRDefault="008F0B35" w:rsidP="00801364">
      <w:pPr>
        <w:pStyle w:val="FootnoteText"/>
        <w:rPr>
          <w:rFonts w:cstheme="minorHAnsi"/>
          <w:color w:val="000000" w:themeColor="text1"/>
        </w:rPr>
      </w:pPr>
      <w:r w:rsidRPr="00801364">
        <w:rPr>
          <w:rStyle w:val="FootnoteReference"/>
          <w:rFonts w:cstheme="minorHAnsi"/>
          <w:color w:val="000000" w:themeColor="text1"/>
        </w:rPr>
        <w:footnoteRef/>
      </w:r>
      <w:r w:rsidRPr="00801364">
        <w:rPr>
          <w:rFonts w:cstheme="minorHAnsi"/>
          <w:color w:val="000000" w:themeColor="text1"/>
        </w:rPr>
        <w:t xml:space="preserve"> Hinton and Ono-George, 'Teaching a </w:t>
      </w:r>
      <w:proofErr w:type="gramStart"/>
      <w:r w:rsidRPr="00801364">
        <w:rPr>
          <w:rFonts w:cstheme="minorHAnsi"/>
          <w:color w:val="000000" w:themeColor="text1"/>
        </w:rPr>
        <w:t>History</w:t>
      </w:r>
      <w:proofErr w:type="gramEnd"/>
      <w:r w:rsidRPr="00801364">
        <w:rPr>
          <w:rFonts w:cstheme="minorHAnsi"/>
          <w:color w:val="000000" w:themeColor="text1"/>
        </w:rPr>
        <w:t xml:space="preserve"> of "Race" and Anti-Racist Action in an Academic Classroom', pp. 217-8.</w:t>
      </w:r>
    </w:p>
  </w:footnote>
  <w:footnote w:id="67">
    <w:p w14:paraId="7D31A723" w14:textId="77777777" w:rsidR="00DC75EF" w:rsidRPr="00801364" w:rsidRDefault="00DC75EF" w:rsidP="00801364">
      <w:pPr>
        <w:pStyle w:val="FootnoteText"/>
        <w:rPr>
          <w:rFonts w:cstheme="minorHAnsi"/>
        </w:rPr>
      </w:pPr>
      <w:r w:rsidRPr="00801364">
        <w:rPr>
          <w:rStyle w:val="FootnoteReference"/>
          <w:rFonts w:cstheme="minorHAnsi"/>
        </w:rPr>
        <w:footnoteRef/>
      </w:r>
      <w:r w:rsidRPr="00801364">
        <w:rPr>
          <w:rFonts w:cstheme="minorHAnsi"/>
        </w:rPr>
        <w:t xml:space="preserve"> UCL, ‘Why is my Curriculum White? </w:t>
      </w:r>
      <w:hyperlink r:id="rId71" w:history="1">
        <w:r w:rsidRPr="00801364">
          <w:rPr>
            <w:rStyle w:val="Hyperlink"/>
            <w:rFonts w:cstheme="minorHAnsi"/>
          </w:rPr>
          <w:t>https://www.youtube.com/watch?app=desktop&amp;v=Dscx4h2l-Pk</w:t>
        </w:r>
      </w:hyperlink>
      <w:r w:rsidRPr="00801364">
        <w:rPr>
          <w:rFonts w:cstheme="minorHAnsi"/>
        </w:rPr>
        <w:t xml:space="preserve">. Black Lives Matter </w:t>
      </w:r>
      <w:hyperlink r:id="rId72" w:history="1">
        <w:r w:rsidRPr="00801364">
          <w:rPr>
            <w:rStyle w:val="Hyperlink"/>
            <w:rFonts w:cstheme="minorHAnsi"/>
          </w:rPr>
          <w:t>https://blacklivesmatter.com/herstory/</w:t>
        </w:r>
      </w:hyperlink>
      <w:r w:rsidRPr="00801364">
        <w:rPr>
          <w:rFonts w:cstheme="minorHAnsi"/>
        </w:rPr>
        <w:t xml:space="preserve"> </w:t>
      </w:r>
    </w:p>
  </w:footnote>
  <w:footnote w:id="68">
    <w:p w14:paraId="74E5F48E" w14:textId="77777777" w:rsidR="00DC75EF" w:rsidRPr="00801364" w:rsidRDefault="00DC75EF" w:rsidP="00801364">
      <w:pPr>
        <w:pStyle w:val="FootnoteText"/>
        <w:rPr>
          <w:rFonts w:cstheme="minorHAnsi"/>
        </w:rPr>
      </w:pPr>
      <w:r w:rsidRPr="00801364">
        <w:rPr>
          <w:rStyle w:val="FootnoteReference"/>
          <w:rFonts w:cstheme="minorHAnsi"/>
        </w:rPr>
        <w:footnoteRef/>
      </w:r>
      <w:r w:rsidRPr="00801364">
        <w:rPr>
          <w:rFonts w:cstheme="minorHAnsi"/>
        </w:rPr>
        <w:t xml:space="preserve"> The Halpin report on UK Universities’ Response to Black Lives Matter noted that 83.3% of respondents said their institution made public statements regarding the BLM movement but only 25.6% felt this was appropriate or sufficient. 'UK Universities’ Response to Black Lives Matter (Nov 2020) </w:t>
      </w:r>
      <w:hyperlink r:id="rId73" w:history="1">
        <w:r w:rsidRPr="00801364">
          <w:rPr>
            <w:rStyle w:val="Hyperlink"/>
            <w:rFonts w:cstheme="minorHAnsi"/>
          </w:rPr>
          <w:t>https://halpinpartnership.com/wp-content/uploads/2021/09/Halpin-Report-UK-Universities-Response-to-Black-Lives-Matter.pdf</w:t>
        </w:r>
      </w:hyperlink>
    </w:p>
  </w:footnote>
  <w:footnote w:id="69">
    <w:p w14:paraId="7183EF52" w14:textId="77777777" w:rsidR="00AB5086" w:rsidRPr="00801364" w:rsidRDefault="00AB5086" w:rsidP="00801364">
      <w:pPr>
        <w:pStyle w:val="FootnoteText"/>
        <w:rPr>
          <w:rFonts w:cstheme="minorHAnsi"/>
        </w:rPr>
      </w:pPr>
      <w:r w:rsidRPr="00801364">
        <w:rPr>
          <w:rStyle w:val="FootnoteReference"/>
          <w:rFonts w:cstheme="minorHAnsi"/>
          <w:color w:val="000000" w:themeColor="text1"/>
        </w:rPr>
        <w:footnoteRef/>
      </w:r>
      <w:r w:rsidRPr="00801364">
        <w:rPr>
          <w:rFonts w:cstheme="minorHAnsi"/>
          <w:color w:val="000000" w:themeColor="text1"/>
        </w:rPr>
        <w:t xml:space="preserve"> M. Ono-George, ‘Beyond diversity: anti-racist pedagogy in British History departments’, </w:t>
      </w:r>
      <w:r w:rsidRPr="00801364">
        <w:rPr>
          <w:rFonts w:cstheme="minorHAnsi"/>
          <w:i/>
          <w:iCs/>
          <w:color w:val="000000" w:themeColor="text1"/>
        </w:rPr>
        <w:t>Women's History Review</w:t>
      </w:r>
      <w:r w:rsidRPr="00801364">
        <w:rPr>
          <w:rFonts w:cstheme="minorHAnsi"/>
          <w:color w:val="000000" w:themeColor="text1"/>
        </w:rPr>
        <w:t>, 28, 3 (2019), pp. 500-507.</w:t>
      </w:r>
    </w:p>
  </w:footnote>
  <w:footnote w:id="70">
    <w:p w14:paraId="32E1E042" w14:textId="77777777" w:rsidR="00AB5086" w:rsidRPr="00801364" w:rsidRDefault="00AB5086"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C. Pittman and T.J. Tobin, ‘Academe has a lot to learn about how inclusive teaching affects instructors’, </w:t>
      </w:r>
      <w:r w:rsidRPr="00801364">
        <w:rPr>
          <w:rFonts w:cstheme="minorHAnsi"/>
          <w:i/>
          <w:iCs/>
          <w:sz w:val="20"/>
          <w:szCs w:val="20"/>
        </w:rPr>
        <w:t>The Chronicle of Higher Education</w:t>
      </w:r>
      <w:r w:rsidRPr="00801364">
        <w:rPr>
          <w:rFonts w:cstheme="minorHAnsi"/>
          <w:sz w:val="20"/>
          <w:szCs w:val="20"/>
        </w:rPr>
        <w:t xml:space="preserve">, 7 Feb 2022: </w:t>
      </w:r>
      <w:hyperlink r:id="rId74">
        <w:r w:rsidRPr="00801364">
          <w:rPr>
            <w:rStyle w:val="Hyperlink"/>
            <w:rFonts w:cstheme="minorHAnsi"/>
            <w:sz w:val="20"/>
            <w:szCs w:val="20"/>
          </w:rPr>
          <w:t>https://www.chronicle.com/article/academe-has-a-lot-to-learn-about-how-inclusive-teaching-affects-instructors</w:t>
        </w:r>
      </w:hyperlink>
      <w:r w:rsidRPr="00801364">
        <w:rPr>
          <w:rFonts w:cstheme="minorHAnsi"/>
          <w:sz w:val="20"/>
          <w:szCs w:val="20"/>
        </w:rPr>
        <w:t xml:space="preserve"> </w:t>
      </w:r>
    </w:p>
  </w:footnote>
  <w:footnote w:id="71">
    <w:p w14:paraId="4F238A63" w14:textId="77777777" w:rsidR="00DC75EF" w:rsidRPr="00801364" w:rsidRDefault="00DC75EF" w:rsidP="00801364">
      <w:pPr>
        <w:pStyle w:val="FootnoteText"/>
        <w:rPr>
          <w:rFonts w:cstheme="minorHAnsi"/>
        </w:rPr>
      </w:pPr>
      <w:r w:rsidRPr="00801364">
        <w:rPr>
          <w:rStyle w:val="FootnoteReference"/>
          <w:rFonts w:cstheme="minorHAnsi"/>
        </w:rPr>
        <w:footnoteRef/>
      </w:r>
      <w:r w:rsidRPr="00801364">
        <w:rPr>
          <w:rFonts w:cstheme="minorHAnsi"/>
        </w:rPr>
        <w:t xml:space="preserve"> Mai Abu </w:t>
      </w:r>
      <w:proofErr w:type="spellStart"/>
      <w:r w:rsidRPr="00801364">
        <w:rPr>
          <w:rFonts w:cstheme="minorHAnsi"/>
        </w:rPr>
        <w:t>Moghli</w:t>
      </w:r>
      <w:proofErr w:type="spellEnd"/>
      <w:r w:rsidRPr="00801364">
        <w:rPr>
          <w:rFonts w:cstheme="minorHAnsi"/>
        </w:rPr>
        <w:t xml:space="preserve"> and Laila </w:t>
      </w:r>
      <w:proofErr w:type="spellStart"/>
      <w:r w:rsidRPr="00801364">
        <w:rPr>
          <w:rFonts w:cstheme="minorHAnsi"/>
        </w:rPr>
        <w:t>Kadiwal</w:t>
      </w:r>
      <w:proofErr w:type="spellEnd"/>
      <w:r w:rsidRPr="00801364">
        <w:rPr>
          <w:rFonts w:cstheme="minorHAnsi"/>
        </w:rPr>
        <w:t xml:space="preserve">, ‘Decolonising the curriculum beyond the surge: Conceptualisation, positionality and conduct’, </w:t>
      </w:r>
      <w:r w:rsidRPr="00801364">
        <w:rPr>
          <w:rFonts w:cstheme="minorHAnsi"/>
          <w:i/>
          <w:iCs/>
        </w:rPr>
        <w:t>London Review of Education</w:t>
      </w:r>
      <w:r w:rsidRPr="00801364">
        <w:rPr>
          <w:rFonts w:cstheme="minorHAnsi"/>
        </w:rPr>
        <w:t xml:space="preserve">, 19:1 (2021), pp. 1-16; </w:t>
      </w:r>
      <w:r w:rsidRPr="00801364">
        <w:rPr>
          <w:rFonts w:cstheme="minorHAnsi"/>
          <w:color w:val="000000" w:themeColor="text1"/>
        </w:rPr>
        <w:t xml:space="preserve">Kyoko </w:t>
      </w:r>
      <w:proofErr w:type="spellStart"/>
      <w:r w:rsidRPr="00801364">
        <w:rPr>
          <w:rFonts w:cstheme="minorHAnsi"/>
          <w:color w:val="000000" w:themeColor="text1"/>
        </w:rPr>
        <w:t>Kishmoto</w:t>
      </w:r>
      <w:proofErr w:type="spellEnd"/>
      <w:r w:rsidRPr="00801364">
        <w:rPr>
          <w:rFonts w:cstheme="minorHAnsi"/>
          <w:color w:val="000000" w:themeColor="text1"/>
        </w:rPr>
        <w:t xml:space="preserve">, ‘Anti-racist pedagogy: from faculty’s self-reflection to organizing within and beyond the classroom’, </w:t>
      </w:r>
      <w:r w:rsidRPr="00801364">
        <w:rPr>
          <w:rFonts w:cstheme="minorHAnsi"/>
          <w:i/>
          <w:iCs/>
          <w:color w:val="000000" w:themeColor="text1"/>
        </w:rPr>
        <w:t>Race Ethnicity and Education</w:t>
      </w:r>
      <w:r w:rsidRPr="00801364">
        <w:rPr>
          <w:rFonts w:cstheme="minorHAnsi"/>
          <w:color w:val="000000" w:themeColor="text1"/>
        </w:rPr>
        <w:t>, 21:4 (2018), pp. 540-554</w:t>
      </w:r>
      <w:r w:rsidRPr="00801364">
        <w:rPr>
          <w:rFonts w:cstheme="minorHAnsi"/>
        </w:rPr>
        <w:t>.</w:t>
      </w:r>
    </w:p>
  </w:footnote>
  <w:footnote w:id="72">
    <w:p w14:paraId="1FFB5CD7" w14:textId="3A6D0E80" w:rsidR="00916054" w:rsidRPr="00801364" w:rsidRDefault="00916054" w:rsidP="00801364">
      <w:pPr>
        <w:pStyle w:val="FootnoteText"/>
        <w:rPr>
          <w:rFonts w:cstheme="minorHAnsi"/>
        </w:rPr>
      </w:pPr>
      <w:r w:rsidRPr="00801364">
        <w:rPr>
          <w:rStyle w:val="FootnoteReference"/>
          <w:rFonts w:cstheme="minorHAnsi"/>
        </w:rPr>
        <w:footnoteRef/>
      </w:r>
      <w:r w:rsidRPr="00801364">
        <w:rPr>
          <w:rFonts w:cstheme="minorHAnsi"/>
        </w:rPr>
        <w:t xml:space="preserve"> A. Crum, ‘What does inclusive education look like at a subject level?’, </w:t>
      </w:r>
      <w:proofErr w:type="spellStart"/>
      <w:r w:rsidRPr="00801364">
        <w:rPr>
          <w:rFonts w:cstheme="minorHAnsi"/>
        </w:rPr>
        <w:t>W</w:t>
      </w:r>
      <w:r w:rsidR="00336133" w:rsidRPr="00801364">
        <w:rPr>
          <w:rFonts w:cstheme="minorHAnsi"/>
        </w:rPr>
        <w:t>onkhe</w:t>
      </w:r>
      <w:proofErr w:type="spellEnd"/>
      <w:r w:rsidRPr="00801364">
        <w:rPr>
          <w:rFonts w:cstheme="minorHAnsi"/>
        </w:rPr>
        <w:t xml:space="preserve"> blog post (March 2022) </w:t>
      </w:r>
      <w:hyperlink r:id="rId75">
        <w:r w:rsidRPr="00801364">
          <w:rPr>
            <w:rStyle w:val="Hyperlink"/>
            <w:rFonts w:cstheme="minorHAnsi"/>
          </w:rPr>
          <w:t>https://wonkhe.com/blogs/what-does-inclusive-education-look-like-at-a-subject-level/</w:t>
        </w:r>
      </w:hyperlink>
    </w:p>
  </w:footnote>
  <w:footnote w:id="73">
    <w:p w14:paraId="44CD3AE9" w14:textId="77777777" w:rsidR="00671088" w:rsidRPr="00801364" w:rsidRDefault="00671088" w:rsidP="00801364">
      <w:pPr>
        <w:pStyle w:val="FootnoteText"/>
        <w:rPr>
          <w:rFonts w:cstheme="minorHAnsi"/>
        </w:rPr>
      </w:pPr>
      <w:r w:rsidRPr="00801364">
        <w:rPr>
          <w:rStyle w:val="FootnoteReference"/>
          <w:rFonts w:cstheme="minorHAnsi"/>
        </w:rPr>
        <w:footnoteRef/>
      </w:r>
      <w:r w:rsidRPr="00801364">
        <w:rPr>
          <w:rFonts w:cstheme="minorHAnsi"/>
        </w:rPr>
        <w:t xml:space="preserve"> J. Lewis and P. Bolton, </w:t>
      </w:r>
      <w:r w:rsidRPr="00801364">
        <w:rPr>
          <w:rFonts w:cstheme="minorHAnsi"/>
          <w:i/>
        </w:rPr>
        <w:t xml:space="preserve">Student mental health in England: Statistics, policy and guidance, </w:t>
      </w:r>
      <w:r w:rsidRPr="00801364">
        <w:rPr>
          <w:rFonts w:cstheme="minorHAnsi"/>
        </w:rPr>
        <w:t xml:space="preserve">Research briefing, House of Commons Library, 30 May 2023, </w:t>
      </w:r>
      <w:hyperlink r:id="rId76" w:history="1">
        <w:r w:rsidRPr="00801364">
          <w:rPr>
            <w:rStyle w:val="Hyperlink"/>
            <w:rFonts w:cstheme="minorHAnsi"/>
          </w:rPr>
          <w:t>https://commonslibrary.parliament.uk/research-briefings/cbp-8593/</w:t>
        </w:r>
      </w:hyperlink>
      <w:r w:rsidRPr="00801364">
        <w:rPr>
          <w:rFonts w:cstheme="minorHAnsi"/>
        </w:rPr>
        <w:t xml:space="preserve">  The report includes links to a wide range of data recently collected by universities and third sector organisation on student mental health.</w:t>
      </w:r>
    </w:p>
  </w:footnote>
  <w:footnote w:id="74">
    <w:p w14:paraId="1059E194" w14:textId="77777777" w:rsidR="00671088" w:rsidRPr="00801364" w:rsidRDefault="00671088" w:rsidP="00801364">
      <w:pPr>
        <w:pStyle w:val="FootnoteText"/>
        <w:rPr>
          <w:rFonts w:cstheme="minorHAnsi"/>
        </w:rPr>
      </w:pPr>
      <w:r w:rsidRPr="00801364">
        <w:rPr>
          <w:rStyle w:val="FootnoteReference"/>
          <w:rFonts w:cstheme="minorHAnsi"/>
        </w:rPr>
        <w:footnoteRef/>
      </w:r>
      <w:r w:rsidRPr="00801364">
        <w:rPr>
          <w:rFonts w:cstheme="minorHAnsi"/>
        </w:rPr>
        <w:t xml:space="preserve"> N. Frampton and D. Smithies, </w:t>
      </w:r>
      <w:r w:rsidRPr="00801364">
        <w:rPr>
          <w:rFonts w:cstheme="minorHAnsi"/>
          <w:i/>
        </w:rPr>
        <w:t>University Mental Health: Life in a Pandemic Listening to higher education communities throughout 2020/2021</w:t>
      </w:r>
      <w:r w:rsidRPr="00801364">
        <w:rPr>
          <w:rFonts w:cstheme="minorHAnsi"/>
        </w:rPr>
        <w:t xml:space="preserve">, </w:t>
      </w:r>
      <w:hyperlink r:id="rId77" w:history="1">
        <w:r w:rsidRPr="00801364">
          <w:rPr>
            <w:rStyle w:val="Hyperlink"/>
            <w:rFonts w:cstheme="minorHAnsi"/>
          </w:rPr>
          <w:t>https://www.studentminds.org.uk/lifeinapandemic.html</w:t>
        </w:r>
      </w:hyperlink>
      <w:r w:rsidRPr="00801364">
        <w:rPr>
          <w:rFonts w:cstheme="minorHAnsi"/>
        </w:rPr>
        <w:t xml:space="preserve">. </w:t>
      </w:r>
    </w:p>
  </w:footnote>
  <w:footnote w:id="75">
    <w:p w14:paraId="358D20E2" w14:textId="77777777" w:rsidR="00671088" w:rsidRPr="00801364" w:rsidRDefault="00671088" w:rsidP="00801364">
      <w:pPr>
        <w:pStyle w:val="FootnoteText"/>
        <w:rPr>
          <w:rFonts w:cstheme="minorHAnsi"/>
        </w:rPr>
      </w:pPr>
      <w:r w:rsidRPr="00801364">
        <w:rPr>
          <w:rStyle w:val="FootnoteReference"/>
          <w:rFonts w:cstheme="minorHAnsi"/>
        </w:rPr>
        <w:footnoteRef/>
      </w:r>
      <w:r w:rsidRPr="00801364">
        <w:rPr>
          <w:rFonts w:cstheme="minorHAnsi"/>
        </w:rPr>
        <w:t xml:space="preserve"> E. Peck, ‘Seeing the wood through the trees: redesigning student support’, </w:t>
      </w:r>
      <w:proofErr w:type="spellStart"/>
      <w:r w:rsidRPr="00801364">
        <w:rPr>
          <w:rFonts w:cstheme="minorHAnsi"/>
        </w:rPr>
        <w:t>AdvanceHE</w:t>
      </w:r>
      <w:proofErr w:type="spellEnd"/>
      <w:r w:rsidRPr="00801364">
        <w:rPr>
          <w:rFonts w:cstheme="minorHAnsi"/>
        </w:rPr>
        <w:t xml:space="preserve"> , 4 October 2023, </w:t>
      </w:r>
      <w:hyperlink r:id="rId78" w:history="1">
        <w:r w:rsidRPr="00801364">
          <w:rPr>
            <w:rStyle w:val="Hyperlink"/>
            <w:rFonts w:cstheme="minorHAnsi"/>
          </w:rPr>
          <w:t>https://advance-he.ac.uk/news-and-views/seeing-wood-through-trees-redesigning-student-support</w:t>
        </w:r>
      </w:hyperlink>
      <w:r w:rsidRPr="00801364">
        <w:rPr>
          <w:rFonts w:cstheme="minorHAnsi"/>
        </w:rPr>
        <w:t xml:space="preserve"> </w:t>
      </w:r>
    </w:p>
  </w:footnote>
  <w:footnote w:id="76">
    <w:p w14:paraId="023359F8" w14:textId="77777777" w:rsidR="00671088" w:rsidRPr="00801364" w:rsidRDefault="00671088" w:rsidP="00801364">
      <w:pPr>
        <w:pStyle w:val="FootnoteText"/>
        <w:rPr>
          <w:rFonts w:cstheme="minorHAnsi"/>
        </w:rPr>
      </w:pPr>
      <w:r w:rsidRPr="00801364">
        <w:rPr>
          <w:rStyle w:val="FootnoteReference"/>
          <w:rFonts w:cstheme="minorHAnsi"/>
        </w:rPr>
        <w:footnoteRef/>
      </w:r>
      <w:r w:rsidRPr="00801364">
        <w:rPr>
          <w:rFonts w:cstheme="minorHAnsi"/>
        </w:rPr>
        <w:t xml:space="preserve"> </w:t>
      </w:r>
      <w:r w:rsidRPr="00801364">
        <w:rPr>
          <w:rFonts w:cstheme="minorHAnsi"/>
          <w:i/>
        </w:rPr>
        <w:t>Student Needs Framework</w:t>
      </w:r>
      <w:r w:rsidRPr="00801364">
        <w:rPr>
          <w:rFonts w:cstheme="minorHAnsi"/>
        </w:rPr>
        <w:t xml:space="preserve">, </w:t>
      </w:r>
      <w:hyperlink r:id="rId79" w:history="1">
        <w:r w:rsidRPr="00801364">
          <w:rPr>
            <w:rStyle w:val="Hyperlink"/>
            <w:rFonts w:cstheme="minorHAnsi"/>
          </w:rPr>
          <w:t>https://www.advance-he.ac.uk/teaching-and-learning/student-needs-framework</w:t>
        </w:r>
      </w:hyperlink>
      <w:r w:rsidRPr="00801364">
        <w:rPr>
          <w:rFonts w:cstheme="minorHAnsi"/>
        </w:rPr>
        <w:t xml:space="preserve"> </w:t>
      </w:r>
    </w:p>
  </w:footnote>
  <w:footnote w:id="77">
    <w:p w14:paraId="63FD8221" w14:textId="77777777" w:rsidR="00671088" w:rsidRPr="00801364" w:rsidRDefault="00671088" w:rsidP="00801364">
      <w:pPr>
        <w:pStyle w:val="FootnoteText"/>
        <w:rPr>
          <w:rFonts w:cstheme="minorHAnsi"/>
        </w:rPr>
      </w:pPr>
      <w:r w:rsidRPr="00801364">
        <w:rPr>
          <w:rStyle w:val="FootnoteReference"/>
          <w:rFonts w:cstheme="minorHAnsi"/>
        </w:rPr>
        <w:footnoteRef/>
      </w:r>
      <w:r w:rsidRPr="00801364">
        <w:rPr>
          <w:rFonts w:cstheme="minorHAnsi"/>
        </w:rPr>
        <w:t xml:space="preserve"> A. T. Yale, ‘The personal tutor–student relationship: student expectations and experiences of personal tutoring in higher education’, </w:t>
      </w:r>
      <w:r w:rsidRPr="00801364">
        <w:rPr>
          <w:rFonts w:cstheme="minorHAnsi"/>
          <w:i/>
        </w:rPr>
        <w:t>Journal of Further and Higher Education</w:t>
      </w:r>
      <w:r w:rsidRPr="00801364">
        <w:rPr>
          <w:rFonts w:cstheme="minorHAnsi"/>
        </w:rPr>
        <w:t xml:space="preserve">, 43:4, 2019, 533-544, </w:t>
      </w:r>
      <w:hyperlink r:id="rId80" w:history="1">
        <w:r w:rsidRPr="00801364">
          <w:rPr>
            <w:rStyle w:val="Hyperlink"/>
            <w:rFonts w:cstheme="minorHAnsi"/>
          </w:rPr>
          <w:t>https://www.tandfonline.com/doi/full/10.1080/0309877X.2017.1377164</w:t>
        </w:r>
      </w:hyperlink>
      <w:r w:rsidRPr="00801364">
        <w:rPr>
          <w:rFonts w:cstheme="minorHAnsi"/>
        </w:rPr>
        <w:t xml:space="preserve"> </w:t>
      </w:r>
    </w:p>
  </w:footnote>
  <w:footnote w:id="78">
    <w:p w14:paraId="127FD37C" w14:textId="16B26F5B" w:rsidR="00671088" w:rsidRPr="00801364" w:rsidRDefault="00671088" w:rsidP="00801364">
      <w:pPr>
        <w:pStyle w:val="FootnoteText"/>
        <w:rPr>
          <w:rFonts w:cstheme="minorHAnsi"/>
        </w:rPr>
      </w:pPr>
      <w:r w:rsidRPr="00801364">
        <w:rPr>
          <w:rStyle w:val="FootnoteReference"/>
          <w:rFonts w:cstheme="minorHAnsi"/>
        </w:rPr>
        <w:footnoteRef/>
      </w:r>
      <w:r w:rsidRPr="00801364">
        <w:rPr>
          <w:rFonts w:cstheme="minorHAnsi"/>
        </w:rPr>
        <w:t xml:space="preserve"> D. Grey and C. Osborne, ‘Perceptions and principles of personal tutoring’, </w:t>
      </w:r>
      <w:r w:rsidRPr="00801364">
        <w:rPr>
          <w:rFonts w:cstheme="minorHAnsi"/>
          <w:i/>
        </w:rPr>
        <w:t>Journal of Further and Higher Education</w:t>
      </w:r>
      <w:r w:rsidRPr="00801364">
        <w:rPr>
          <w:rFonts w:cstheme="minorHAnsi"/>
        </w:rPr>
        <w:t xml:space="preserve">, 44:3, 2020, 285-299, </w:t>
      </w:r>
      <w:hyperlink r:id="rId81" w:history="1">
        <w:r w:rsidRPr="00801364">
          <w:rPr>
            <w:rStyle w:val="Hyperlink"/>
            <w:rFonts w:cstheme="minorHAnsi"/>
          </w:rPr>
          <w:t>https://doi.org/10.1080/0309877X.2018.1536258</w:t>
        </w:r>
      </w:hyperlink>
      <w:r w:rsidRPr="00801364">
        <w:rPr>
          <w:rFonts w:cstheme="minorHAnsi"/>
        </w:rPr>
        <w:t xml:space="preserve"> </w:t>
      </w:r>
    </w:p>
  </w:footnote>
  <w:footnote w:id="79">
    <w:p w14:paraId="7358FDE4" w14:textId="77777777" w:rsidR="006F5701" w:rsidRPr="00801364" w:rsidRDefault="006F5701" w:rsidP="00801364">
      <w:pPr>
        <w:pStyle w:val="FootnoteText"/>
        <w:rPr>
          <w:rFonts w:cstheme="minorHAnsi"/>
        </w:rPr>
      </w:pPr>
      <w:r w:rsidRPr="00801364">
        <w:rPr>
          <w:rStyle w:val="FootnoteReference"/>
          <w:rFonts w:cstheme="minorHAnsi"/>
        </w:rPr>
        <w:footnoteRef/>
      </w:r>
      <w:r w:rsidRPr="00801364">
        <w:rPr>
          <w:rFonts w:cstheme="minorHAnsi"/>
        </w:rPr>
        <w:t xml:space="preserve"> </w:t>
      </w:r>
      <w:proofErr w:type="spellStart"/>
      <w:r w:rsidRPr="00801364">
        <w:rPr>
          <w:rFonts w:cstheme="minorHAnsi"/>
        </w:rPr>
        <w:t>V.Tinto</w:t>
      </w:r>
      <w:proofErr w:type="spellEnd"/>
      <w:r w:rsidRPr="00801364">
        <w:rPr>
          <w:rFonts w:cstheme="minorHAnsi"/>
        </w:rPr>
        <w:t xml:space="preserve">, </w:t>
      </w:r>
      <w:r w:rsidRPr="00801364">
        <w:rPr>
          <w:rFonts w:cstheme="minorHAnsi"/>
          <w:i/>
        </w:rPr>
        <w:t>Completing College: Rethinking Institutional Action</w:t>
      </w:r>
      <w:r w:rsidRPr="00801364">
        <w:rPr>
          <w:rFonts w:cstheme="minorHAnsi"/>
        </w:rPr>
        <w:t xml:space="preserve">, Chicago: University of Chicago Press, 2012. A detailed exploration of the notion of sense of belonging to higher education can be found in G. Dost and L. </w:t>
      </w:r>
      <w:proofErr w:type="spellStart"/>
      <w:r w:rsidRPr="00801364">
        <w:rPr>
          <w:rFonts w:cstheme="minorHAnsi"/>
        </w:rPr>
        <w:t>Mazzoli</w:t>
      </w:r>
      <w:proofErr w:type="spellEnd"/>
      <w:r w:rsidRPr="00801364">
        <w:rPr>
          <w:rFonts w:cstheme="minorHAnsi"/>
        </w:rPr>
        <w:t xml:space="preserve"> Smith, ‘Understanding higher education students’ sense of belonging: a qualitative meta-ethnographic analysis’, </w:t>
      </w:r>
      <w:r w:rsidRPr="00801364">
        <w:rPr>
          <w:rFonts w:cstheme="minorHAnsi"/>
          <w:i/>
        </w:rPr>
        <w:t>Journal of Further and Higher Education</w:t>
      </w:r>
      <w:r w:rsidRPr="00801364">
        <w:rPr>
          <w:rFonts w:cstheme="minorHAnsi"/>
        </w:rPr>
        <w:t xml:space="preserve">, 47:6, 2023, 822-849, </w:t>
      </w:r>
      <w:hyperlink r:id="rId82" w:history="1">
        <w:r w:rsidRPr="00801364">
          <w:rPr>
            <w:rStyle w:val="Hyperlink"/>
            <w:rFonts w:cstheme="minorHAnsi"/>
          </w:rPr>
          <w:t>https://doi.org/10.1080/0309877X.2023.2191176</w:t>
        </w:r>
      </w:hyperlink>
      <w:r w:rsidRPr="00801364">
        <w:rPr>
          <w:rFonts w:cstheme="minorHAnsi"/>
        </w:rPr>
        <w:t xml:space="preserve"> </w:t>
      </w:r>
    </w:p>
  </w:footnote>
  <w:footnote w:id="80">
    <w:p w14:paraId="225B56AC" w14:textId="39CF5284" w:rsidR="00C07A4A" w:rsidRPr="00801364" w:rsidRDefault="00C07A4A"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G. Capper, ‘Belonging inclusion and mental health are all connected’, </w:t>
      </w:r>
      <w:proofErr w:type="spellStart"/>
      <w:r w:rsidRPr="00801364">
        <w:rPr>
          <w:rFonts w:cstheme="minorHAnsi"/>
          <w:sz w:val="20"/>
          <w:szCs w:val="20"/>
        </w:rPr>
        <w:t>W</w:t>
      </w:r>
      <w:r w:rsidR="00336133" w:rsidRPr="00801364">
        <w:rPr>
          <w:rFonts w:cstheme="minorHAnsi"/>
          <w:sz w:val="20"/>
          <w:szCs w:val="20"/>
        </w:rPr>
        <w:t>onkhe</w:t>
      </w:r>
      <w:proofErr w:type="spellEnd"/>
      <w:r w:rsidRPr="00801364">
        <w:rPr>
          <w:rFonts w:cstheme="minorHAnsi"/>
          <w:sz w:val="20"/>
          <w:szCs w:val="20"/>
        </w:rPr>
        <w:t xml:space="preserve"> (2022) </w:t>
      </w:r>
      <w:hyperlink r:id="rId83" w:history="1">
        <w:r w:rsidRPr="00801364">
          <w:rPr>
            <w:rStyle w:val="Hyperlink"/>
            <w:rFonts w:cstheme="minorHAnsi"/>
            <w:sz w:val="20"/>
            <w:szCs w:val="20"/>
          </w:rPr>
          <w:t>https://wonkhe.com/blogs/belonging-inclusion-and-mental-health-are-all-connected/</w:t>
        </w:r>
      </w:hyperlink>
      <w:r w:rsidRPr="00801364">
        <w:rPr>
          <w:rFonts w:cstheme="minorHAnsi"/>
          <w:sz w:val="20"/>
          <w:szCs w:val="20"/>
        </w:rPr>
        <w:t xml:space="preserve">; </w:t>
      </w:r>
      <w:proofErr w:type="spellStart"/>
      <w:r w:rsidRPr="00801364">
        <w:rPr>
          <w:rFonts w:cstheme="minorHAnsi"/>
          <w:sz w:val="20"/>
          <w:szCs w:val="20"/>
        </w:rPr>
        <w:t>W</w:t>
      </w:r>
      <w:r w:rsidR="00336133" w:rsidRPr="00801364">
        <w:rPr>
          <w:rFonts w:cstheme="minorHAnsi"/>
          <w:sz w:val="20"/>
          <w:szCs w:val="20"/>
        </w:rPr>
        <w:t>onkhe</w:t>
      </w:r>
      <w:proofErr w:type="spellEnd"/>
      <w:r w:rsidRPr="00801364">
        <w:rPr>
          <w:rFonts w:cstheme="minorHAnsi"/>
          <w:sz w:val="20"/>
          <w:szCs w:val="20"/>
        </w:rPr>
        <w:t xml:space="preserve">/Pearson, Student Perceptions of Belonging and Inclusion at University (2022): </w:t>
      </w:r>
      <w:hyperlink r:id="rId84" w:history="1">
        <w:r w:rsidRPr="00801364">
          <w:rPr>
            <w:rStyle w:val="Hyperlink"/>
            <w:rFonts w:cstheme="minorHAnsi"/>
            <w:sz w:val="20"/>
            <w:szCs w:val="20"/>
          </w:rPr>
          <w:t>https://wonkhe.com/wp-content/wonkhe-uploads/2022/02/Belonging-and-inclusion-survey-Wonkhe-Pearson-Feb-22.pdf</w:t>
        </w:r>
      </w:hyperlink>
    </w:p>
  </w:footnote>
  <w:footnote w:id="81">
    <w:p w14:paraId="00CDC9E7" w14:textId="77777777" w:rsidR="006F5701" w:rsidRPr="00801364" w:rsidRDefault="006F5701" w:rsidP="00801364">
      <w:pPr>
        <w:pStyle w:val="FootnoteText"/>
        <w:rPr>
          <w:rFonts w:cstheme="minorHAnsi"/>
        </w:rPr>
      </w:pPr>
      <w:r w:rsidRPr="00801364">
        <w:rPr>
          <w:rStyle w:val="FootnoteReference"/>
          <w:rFonts w:cstheme="minorHAnsi"/>
        </w:rPr>
        <w:footnoteRef/>
      </w:r>
      <w:r w:rsidRPr="00801364">
        <w:rPr>
          <w:rFonts w:cstheme="minorHAnsi"/>
        </w:rPr>
        <w:t xml:space="preserve"> C. </w:t>
      </w:r>
      <w:r w:rsidRPr="00801364">
        <w:rPr>
          <w:rFonts w:cstheme="minorHAnsi"/>
          <w:color w:val="333333"/>
        </w:rPr>
        <w:t>Gillen-</w:t>
      </w:r>
      <w:proofErr w:type="spellStart"/>
      <w:r w:rsidRPr="00801364">
        <w:rPr>
          <w:rFonts w:cstheme="minorHAnsi"/>
          <w:color w:val="333333"/>
        </w:rPr>
        <w:t>O’Neel</w:t>
      </w:r>
      <w:proofErr w:type="spellEnd"/>
      <w:r w:rsidRPr="00801364">
        <w:rPr>
          <w:rFonts w:cstheme="minorHAnsi"/>
          <w:color w:val="333333"/>
        </w:rPr>
        <w:t>, ‘Sense of belonging and student engagement: A daily study of first-and continuing-generation college students’, </w:t>
      </w:r>
      <w:r w:rsidRPr="00801364">
        <w:rPr>
          <w:rFonts w:cstheme="minorHAnsi"/>
          <w:i/>
          <w:iCs/>
          <w:color w:val="333333"/>
        </w:rPr>
        <w:t>Research in Higher Education</w:t>
      </w:r>
      <w:r w:rsidRPr="00801364">
        <w:rPr>
          <w:rFonts w:cstheme="minorHAnsi"/>
          <w:color w:val="333333"/>
        </w:rPr>
        <w:t>, </w:t>
      </w:r>
      <w:r w:rsidRPr="00801364">
        <w:rPr>
          <w:rFonts w:cstheme="minorHAnsi"/>
        </w:rPr>
        <w:t>62</w:t>
      </w:r>
      <w:r w:rsidRPr="00801364">
        <w:rPr>
          <w:rFonts w:cstheme="minorHAnsi"/>
          <w:color w:val="333333"/>
        </w:rPr>
        <w:t xml:space="preserve"> (</w:t>
      </w:r>
      <w:hyperlink r:id="rId85" w:tgtFrame="_blank" w:history="1">
        <w:r w:rsidRPr="00801364">
          <w:rPr>
            <w:rStyle w:val="Hyperlink"/>
            <w:rFonts w:cstheme="minorHAnsi"/>
            <w:color w:val="10147E"/>
          </w:rPr>
          <w:t>1</w:t>
        </w:r>
      </w:hyperlink>
      <w:r w:rsidRPr="00801364">
        <w:rPr>
          <w:rFonts w:cstheme="minorHAnsi"/>
          <w:color w:val="333333"/>
        </w:rPr>
        <w:t xml:space="preserve">), 2021, 45–71. </w:t>
      </w:r>
      <w:hyperlink r:id="rId86" w:history="1">
        <w:r w:rsidRPr="00801364">
          <w:rPr>
            <w:rStyle w:val="Hyperlink"/>
            <w:rFonts w:cstheme="minorHAnsi"/>
          </w:rPr>
          <w:t>https://doi.org/10.1007/s11162-019-09570-y</w:t>
        </w:r>
      </w:hyperlink>
      <w:r w:rsidRPr="00801364">
        <w:rPr>
          <w:rFonts w:cstheme="minorHAnsi"/>
          <w:color w:val="333333"/>
        </w:rPr>
        <w:t xml:space="preserve"> </w:t>
      </w:r>
    </w:p>
  </w:footnote>
  <w:footnote w:id="82">
    <w:p w14:paraId="2518BB69" w14:textId="518F6A4F" w:rsidR="00C07A4A" w:rsidRPr="00801364" w:rsidRDefault="00C07A4A" w:rsidP="00801364">
      <w:pPr>
        <w:pStyle w:val="FootnoteText"/>
        <w:rPr>
          <w:rFonts w:cstheme="minorHAnsi"/>
        </w:rPr>
      </w:pPr>
      <w:r w:rsidRPr="00801364">
        <w:rPr>
          <w:rStyle w:val="FootnoteReference"/>
          <w:rFonts w:cstheme="minorHAnsi"/>
        </w:rPr>
        <w:footnoteRef/>
      </w:r>
      <w:r w:rsidRPr="00801364">
        <w:rPr>
          <w:rFonts w:cstheme="minorHAnsi"/>
        </w:rPr>
        <w:t xml:space="preserve"> S. Oliveira, ‘Spaces and places matter for student outcomes’, </w:t>
      </w:r>
      <w:proofErr w:type="spellStart"/>
      <w:r w:rsidRPr="00801364">
        <w:rPr>
          <w:rFonts w:cstheme="minorHAnsi"/>
        </w:rPr>
        <w:t>W</w:t>
      </w:r>
      <w:r w:rsidR="00336133" w:rsidRPr="00801364">
        <w:rPr>
          <w:rFonts w:cstheme="minorHAnsi"/>
        </w:rPr>
        <w:t>onkhe</w:t>
      </w:r>
      <w:proofErr w:type="spellEnd"/>
      <w:r w:rsidRPr="00801364">
        <w:rPr>
          <w:rFonts w:cstheme="minorHAnsi"/>
        </w:rPr>
        <w:t xml:space="preserve"> (2022): </w:t>
      </w:r>
      <w:hyperlink r:id="rId87" w:history="1">
        <w:r w:rsidRPr="00801364">
          <w:rPr>
            <w:rStyle w:val="Hyperlink"/>
            <w:rFonts w:cstheme="minorHAnsi"/>
          </w:rPr>
          <w:t>https://wonkhe.com/blogs/spaces-and-places-matter-for-student-outcomes/</w:t>
        </w:r>
      </w:hyperlink>
      <w:r w:rsidRPr="00801364">
        <w:rPr>
          <w:rFonts w:cstheme="minorHAnsi"/>
        </w:rPr>
        <w:t xml:space="preserve"> </w:t>
      </w:r>
    </w:p>
  </w:footnote>
  <w:footnote w:id="83">
    <w:p w14:paraId="149E358D" w14:textId="77777777" w:rsidR="006F5701" w:rsidRPr="00801364" w:rsidRDefault="006F5701" w:rsidP="00801364">
      <w:pPr>
        <w:pStyle w:val="FootnoteText"/>
        <w:rPr>
          <w:rFonts w:cstheme="minorHAnsi"/>
        </w:rPr>
      </w:pPr>
      <w:r w:rsidRPr="00801364">
        <w:rPr>
          <w:rStyle w:val="FootnoteReference"/>
          <w:rFonts w:cstheme="minorHAnsi"/>
        </w:rPr>
        <w:footnoteRef/>
      </w:r>
      <w:r w:rsidRPr="00801364">
        <w:rPr>
          <w:rFonts w:cstheme="minorHAnsi"/>
        </w:rPr>
        <w:t xml:space="preserve"> : M. Y. </w:t>
      </w:r>
      <w:proofErr w:type="spellStart"/>
      <w:r w:rsidRPr="00801364">
        <w:rPr>
          <w:rFonts w:cstheme="minorHAnsi"/>
        </w:rPr>
        <w:t>Ahn</w:t>
      </w:r>
      <w:proofErr w:type="spellEnd"/>
      <w:r w:rsidRPr="00801364">
        <w:rPr>
          <w:rFonts w:cstheme="minorHAnsi"/>
        </w:rPr>
        <w:t xml:space="preserve"> and H. H. Davis </w:t>
      </w:r>
      <w:proofErr w:type="gramStart"/>
      <w:r w:rsidRPr="00801364">
        <w:rPr>
          <w:rFonts w:cstheme="minorHAnsi"/>
        </w:rPr>
        <w:t>‘ Four</w:t>
      </w:r>
      <w:proofErr w:type="gramEnd"/>
      <w:r w:rsidRPr="00801364">
        <w:rPr>
          <w:rFonts w:cstheme="minorHAnsi"/>
        </w:rPr>
        <w:t xml:space="preserve"> domains of students’ sense of belonging to university’, </w:t>
      </w:r>
      <w:r w:rsidRPr="00801364">
        <w:rPr>
          <w:rFonts w:cstheme="minorHAnsi"/>
          <w:i/>
        </w:rPr>
        <w:t>Studies in Higher Education</w:t>
      </w:r>
      <w:r w:rsidRPr="00801364">
        <w:rPr>
          <w:rFonts w:cstheme="minorHAnsi"/>
        </w:rPr>
        <w:t xml:space="preserve">, 45:3, 622-634, 2020, </w:t>
      </w:r>
      <w:hyperlink r:id="rId88" w:history="1">
        <w:r w:rsidRPr="00801364">
          <w:rPr>
            <w:rStyle w:val="Hyperlink"/>
            <w:rFonts w:cstheme="minorHAnsi"/>
          </w:rPr>
          <w:t>https://doi.org/10.1080/03075079.2018.1564902</w:t>
        </w:r>
      </w:hyperlink>
      <w:r w:rsidRPr="00801364">
        <w:rPr>
          <w:rFonts w:cstheme="minorHAnsi"/>
        </w:rPr>
        <w:t xml:space="preserve"> </w:t>
      </w:r>
    </w:p>
  </w:footnote>
  <w:footnote w:id="84">
    <w:p w14:paraId="59CE55C3" w14:textId="77777777" w:rsidR="00A71472" w:rsidRPr="00801364" w:rsidRDefault="00A71472" w:rsidP="00801364">
      <w:pPr>
        <w:pStyle w:val="FootnoteText"/>
        <w:rPr>
          <w:rFonts w:cstheme="minorHAnsi"/>
        </w:rPr>
      </w:pPr>
      <w:r w:rsidRPr="00801364">
        <w:rPr>
          <w:rStyle w:val="FootnoteReference"/>
          <w:rFonts w:cstheme="minorHAnsi"/>
        </w:rPr>
        <w:footnoteRef/>
      </w:r>
      <w:r w:rsidRPr="00801364">
        <w:rPr>
          <w:rFonts w:cstheme="minorHAnsi"/>
        </w:rPr>
        <w:t xml:space="preserve"> P. O’Keefe, ‘A sense of belonging: Improving student retention’, </w:t>
      </w:r>
      <w:r w:rsidRPr="00801364">
        <w:rPr>
          <w:rFonts w:cstheme="minorHAnsi"/>
          <w:i/>
        </w:rPr>
        <w:t>College Student Journal</w:t>
      </w:r>
      <w:r w:rsidRPr="00801364">
        <w:rPr>
          <w:rFonts w:cstheme="minorHAnsi"/>
        </w:rPr>
        <w:t xml:space="preserve">, 47(4), 2013, 605-613, </w:t>
      </w:r>
      <w:hyperlink r:id="rId89" w:history="1">
        <w:r w:rsidRPr="00801364">
          <w:rPr>
            <w:rStyle w:val="Hyperlink"/>
            <w:rFonts w:cstheme="minorHAnsi"/>
          </w:rPr>
          <w:t>https://www.proquest.com/docview/1651860196</w:t>
        </w:r>
      </w:hyperlink>
      <w:r w:rsidRPr="00801364">
        <w:rPr>
          <w:rFonts w:cstheme="minorHAnsi"/>
        </w:rPr>
        <w:t xml:space="preserve">; E. Kahu, N. Ashley, C. </w:t>
      </w:r>
      <w:proofErr w:type="spellStart"/>
      <w:r w:rsidRPr="00801364">
        <w:rPr>
          <w:rFonts w:cstheme="minorHAnsi"/>
        </w:rPr>
        <w:t>Picton</w:t>
      </w:r>
      <w:proofErr w:type="spellEnd"/>
      <w:r w:rsidRPr="00801364">
        <w:rPr>
          <w:rFonts w:cstheme="minorHAnsi"/>
        </w:rPr>
        <w:t xml:space="preserve">, ‘Exploring the complexity of first-year student belonging in higher education: familiarity, interpersonal and academic belonging’,  </w:t>
      </w:r>
      <w:r w:rsidRPr="00801364">
        <w:rPr>
          <w:rFonts w:cstheme="minorHAnsi"/>
          <w:i/>
        </w:rPr>
        <w:t>Student Success</w:t>
      </w:r>
      <w:r w:rsidRPr="00801364">
        <w:rPr>
          <w:rFonts w:cstheme="minorHAnsi"/>
        </w:rPr>
        <w:t xml:space="preserve">, 13(2), 2022, </w:t>
      </w:r>
      <w:hyperlink r:id="rId90" w:history="1">
        <w:r w:rsidRPr="00801364">
          <w:rPr>
            <w:rStyle w:val="Hyperlink"/>
            <w:rFonts w:cstheme="minorHAnsi"/>
          </w:rPr>
          <w:t>https://studentsuccessjournal.org/article/view/2264</w:t>
        </w:r>
      </w:hyperlink>
      <w:r w:rsidRPr="00801364">
        <w:rPr>
          <w:rFonts w:cstheme="minorHAnsi"/>
        </w:rPr>
        <w:t xml:space="preserve">  </w:t>
      </w:r>
    </w:p>
  </w:footnote>
  <w:footnote w:id="85">
    <w:p w14:paraId="5BBCF5ED" w14:textId="77777777" w:rsidR="00A71472" w:rsidRPr="00801364" w:rsidRDefault="00A71472" w:rsidP="00801364">
      <w:pPr>
        <w:pStyle w:val="FootnoteText"/>
        <w:rPr>
          <w:rFonts w:cstheme="minorHAnsi"/>
        </w:rPr>
      </w:pPr>
      <w:r w:rsidRPr="00801364">
        <w:rPr>
          <w:rStyle w:val="FootnoteReference"/>
          <w:rFonts w:cstheme="minorHAnsi"/>
        </w:rPr>
        <w:footnoteRef/>
      </w:r>
      <w:r w:rsidRPr="00801364">
        <w:rPr>
          <w:rFonts w:cstheme="minorHAnsi"/>
        </w:rPr>
        <w:t xml:space="preserve"> C. Meehan and K. Howells, ‘In Search of the Feeling of ‘Belonging’ in Higher Education: Undergraduate Students Transition into Higher Education.’, </w:t>
      </w:r>
      <w:r w:rsidRPr="00801364">
        <w:rPr>
          <w:rFonts w:cstheme="minorHAnsi"/>
          <w:i/>
        </w:rPr>
        <w:t>Journal of Further and Higher Education</w:t>
      </w:r>
      <w:r w:rsidRPr="00801364">
        <w:rPr>
          <w:rFonts w:cstheme="minorHAnsi"/>
        </w:rPr>
        <w:t xml:space="preserve">, 43 (10), 2019, 1376–1390, </w:t>
      </w:r>
      <w:hyperlink r:id="rId91" w:history="1">
        <w:r w:rsidRPr="00801364">
          <w:rPr>
            <w:rStyle w:val="Hyperlink"/>
            <w:rFonts w:cstheme="minorHAnsi"/>
          </w:rPr>
          <w:t>https://www.tandfonline.com/doi/full/10.1080/0309877X.2018.1490702</w:t>
        </w:r>
      </w:hyperlink>
      <w:r w:rsidRPr="00801364">
        <w:rPr>
          <w:rFonts w:cstheme="minorHAnsi"/>
        </w:rPr>
        <w:t xml:space="preserve"> </w:t>
      </w:r>
    </w:p>
  </w:footnote>
  <w:footnote w:id="86">
    <w:p w14:paraId="7B336800" w14:textId="77777777" w:rsidR="00A71472" w:rsidRPr="00801364" w:rsidRDefault="00A71472" w:rsidP="00801364">
      <w:pPr>
        <w:pStyle w:val="FootnoteText"/>
        <w:rPr>
          <w:rFonts w:cstheme="minorHAnsi"/>
        </w:rPr>
      </w:pPr>
      <w:r w:rsidRPr="00801364">
        <w:rPr>
          <w:rStyle w:val="FootnoteReference"/>
          <w:rFonts w:cstheme="minorHAnsi"/>
        </w:rPr>
        <w:footnoteRef/>
      </w:r>
      <w:r w:rsidRPr="00801364">
        <w:rPr>
          <w:rFonts w:cstheme="minorHAnsi"/>
        </w:rPr>
        <w:t xml:space="preserve"> L. Thomas, </w:t>
      </w:r>
      <w:r w:rsidRPr="00801364">
        <w:rPr>
          <w:rFonts w:cstheme="minorHAnsi"/>
          <w:i/>
        </w:rPr>
        <w:t>Building Student Engagement and Belonging in Higher Education at a Time of Change</w:t>
      </w:r>
      <w:r w:rsidRPr="00801364">
        <w:rPr>
          <w:rFonts w:cstheme="minorHAnsi"/>
        </w:rPr>
        <w:t xml:space="preserve">, London: Paul Hamlyn Foundation, March 2012, </w:t>
      </w:r>
      <w:hyperlink r:id="rId92" w:history="1">
        <w:r w:rsidRPr="00801364">
          <w:rPr>
            <w:rStyle w:val="Hyperlink"/>
            <w:rFonts w:cstheme="minorHAnsi"/>
          </w:rPr>
          <w:t>https://www.phf.org.uk/wp-content/uploads/2014/10/What-Works-Summary-report.pdf</w:t>
        </w:r>
      </w:hyperlink>
      <w:r w:rsidRPr="00801364">
        <w:rPr>
          <w:rFonts w:cstheme="minorHAnsi"/>
        </w:rPr>
        <w:t xml:space="preserve"> </w:t>
      </w:r>
    </w:p>
  </w:footnote>
  <w:footnote w:id="87">
    <w:p w14:paraId="7E29BF35" w14:textId="77777777" w:rsidR="00A71472" w:rsidRPr="00801364" w:rsidRDefault="00A71472" w:rsidP="00801364">
      <w:pPr>
        <w:pStyle w:val="NoSpacing"/>
        <w:rPr>
          <w:rFonts w:cstheme="minorHAnsi"/>
          <w:color w:val="333333"/>
          <w:sz w:val="20"/>
          <w:szCs w:val="20"/>
        </w:rPr>
      </w:pPr>
      <w:r w:rsidRPr="00801364">
        <w:rPr>
          <w:rStyle w:val="FootnoteReference"/>
          <w:rFonts w:cstheme="minorHAnsi"/>
          <w:sz w:val="20"/>
          <w:szCs w:val="20"/>
        </w:rPr>
        <w:footnoteRef/>
      </w:r>
      <w:r w:rsidRPr="00801364">
        <w:rPr>
          <w:rFonts w:cstheme="minorHAnsi"/>
          <w:sz w:val="20"/>
          <w:szCs w:val="20"/>
        </w:rPr>
        <w:t xml:space="preserve"> H. Luong, Y. Man, F. </w:t>
      </w:r>
      <w:proofErr w:type="spellStart"/>
      <w:r w:rsidRPr="00801364">
        <w:rPr>
          <w:rFonts w:cstheme="minorHAnsi"/>
          <w:sz w:val="20"/>
          <w:szCs w:val="20"/>
        </w:rPr>
        <w:t>Botafago</w:t>
      </w:r>
      <w:proofErr w:type="spellEnd"/>
      <w:r w:rsidRPr="00801364">
        <w:rPr>
          <w:rFonts w:cstheme="minorHAnsi"/>
          <w:sz w:val="20"/>
          <w:szCs w:val="20"/>
        </w:rPr>
        <w:t xml:space="preserve"> and N. Beatson, ‘Sense of belonging during the global pandemic: a case of accounting students’, </w:t>
      </w:r>
      <w:r w:rsidRPr="00801364">
        <w:rPr>
          <w:rFonts w:cstheme="minorHAnsi"/>
          <w:i/>
          <w:iCs/>
          <w:sz w:val="20"/>
          <w:szCs w:val="20"/>
        </w:rPr>
        <w:t>Accounting Education</w:t>
      </w:r>
      <w:r w:rsidRPr="00801364">
        <w:rPr>
          <w:rFonts w:cstheme="minorHAnsi"/>
          <w:sz w:val="20"/>
          <w:szCs w:val="20"/>
        </w:rPr>
        <w:t xml:space="preserve">, 31 (6), 2022, </w:t>
      </w:r>
      <w:hyperlink r:id="rId93" w:history="1">
        <w:r w:rsidRPr="00801364">
          <w:rPr>
            <w:rStyle w:val="Hyperlink"/>
            <w:rFonts w:cstheme="minorHAnsi"/>
            <w:color w:val="006DB4"/>
            <w:sz w:val="20"/>
            <w:szCs w:val="20"/>
            <w:u w:val="none"/>
          </w:rPr>
          <w:t>https://doi.org/10.1080/09639284.2022.2134732</w:t>
        </w:r>
      </w:hyperlink>
    </w:p>
  </w:footnote>
  <w:footnote w:id="88">
    <w:p w14:paraId="22995429" w14:textId="77777777" w:rsidR="00A71472" w:rsidRPr="00801364" w:rsidRDefault="00A71472" w:rsidP="00801364">
      <w:pPr>
        <w:pStyle w:val="NoSpacing"/>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N. Smith, J. M. Graham, C. Waddell-</w:t>
      </w:r>
      <w:proofErr w:type="spellStart"/>
      <w:r w:rsidRPr="00801364">
        <w:rPr>
          <w:rFonts w:cstheme="minorHAnsi"/>
          <w:sz w:val="20"/>
          <w:szCs w:val="20"/>
        </w:rPr>
        <w:t>Henowitch</w:t>
      </w:r>
      <w:proofErr w:type="spellEnd"/>
      <w:r w:rsidRPr="00801364">
        <w:rPr>
          <w:rFonts w:cstheme="minorHAnsi"/>
          <w:sz w:val="20"/>
          <w:szCs w:val="20"/>
        </w:rPr>
        <w:t xml:space="preserve">, D. De </w:t>
      </w:r>
      <w:proofErr w:type="spellStart"/>
      <w:r w:rsidRPr="00801364">
        <w:rPr>
          <w:rFonts w:cstheme="minorHAnsi"/>
          <w:sz w:val="20"/>
          <w:szCs w:val="20"/>
        </w:rPr>
        <w:t>Moissac</w:t>
      </w:r>
      <w:proofErr w:type="spellEnd"/>
      <w:r w:rsidRPr="00801364">
        <w:rPr>
          <w:rFonts w:cstheme="minorHAnsi"/>
          <w:sz w:val="20"/>
          <w:szCs w:val="20"/>
        </w:rPr>
        <w:t xml:space="preserve">, M. Lam, ‘Post-secondary student belonging in a virtual learning environment during Covid19’, </w:t>
      </w:r>
      <w:r w:rsidRPr="00801364">
        <w:rPr>
          <w:rFonts w:cstheme="minorHAnsi"/>
          <w:i/>
          <w:sz w:val="20"/>
          <w:szCs w:val="20"/>
        </w:rPr>
        <w:t>Canadian Journal of Higher Education</w:t>
      </w:r>
      <w:r w:rsidRPr="00801364">
        <w:rPr>
          <w:rFonts w:cstheme="minorHAnsi"/>
          <w:sz w:val="20"/>
          <w:szCs w:val="20"/>
        </w:rPr>
        <w:t xml:space="preserve">, 52 (3), 2023, </w:t>
      </w:r>
      <w:hyperlink r:id="rId94" w:history="1">
        <w:r w:rsidRPr="00801364">
          <w:rPr>
            <w:rStyle w:val="Hyperlink"/>
            <w:rFonts w:cstheme="minorHAnsi"/>
            <w:sz w:val="20"/>
            <w:szCs w:val="20"/>
          </w:rPr>
          <w:t>https://journals.sfu.ca/cjhe/index.php/cjhe/article/view/189851</w:t>
        </w:r>
      </w:hyperlink>
      <w:r w:rsidRPr="00801364">
        <w:rPr>
          <w:rFonts w:cstheme="minorHAnsi"/>
          <w:sz w:val="20"/>
          <w:szCs w:val="20"/>
        </w:rPr>
        <w:t xml:space="preserve"> </w:t>
      </w:r>
    </w:p>
  </w:footnote>
  <w:footnote w:id="89">
    <w:p w14:paraId="40DA6417" w14:textId="29E64324" w:rsidR="00C07A4A" w:rsidRPr="00801364" w:rsidRDefault="00C07A4A"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G. Capper, ‘Belonging inclusion and mental health are all connected’, </w:t>
      </w:r>
      <w:proofErr w:type="spellStart"/>
      <w:r w:rsidRPr="00801364">
        <w:rPr>
          <w:rFonts w:cstheme="minorHAnsi"/>
          <w:sz w:val="20"/>
          <w:szCs w:val="20"/>
        </w:rPr>
        <w:t>W</w:t>
      </w:r>
      <w:r w:rsidR="00336133" w:rsidRPr="00801364">
        <w:rPr>
          <w:rFonts w:cstheme="minorHAnsi"/>
          <w:sz w:val="20"/>
          <w:szCs w:val="20"/>
        </w:rPr>
        <w:t>onkhe</w:t>
      </w:r>
      <w:proofErr w:type="spellEnd"/>
      <w:r w:rsidRPr="00801364">
        <w:rPr>
          <w:rFonts w:cstheme="minorHAnsi"/>
          <w:sz w:val="20"/>
          <w:szCs w:val="20"/>
        </w:rPr>
        <w:t xml:space="preserve"> (2022) </w:t>
      </w:r>
      <w:hyperlink r:id="rId95" w:history="1">
        <w:r w:rsidRPr="00801364">
          <w:rPr>
            <w:rStyle w:val="Hyperlink"/>
            <w:rFonts w:cstheme="minorHAnsi"/>
            <w:sz w:val="20"/>
            <w:szCs w:val="20"/>
          </w:rPr>
          <w:t>https://wonkhe.com/blogs/belonging-inclusion-and-mental-health-are-all-connected/</w:t>
        </w:r>
      </w:hyperlink>
      <w:r w:rsidRPr="00801364">
        <w:rPr>
          <w:rFonts w:cstheme="minorHAnsi"/>
          <w:sz w:val="20"/>
          <w:szCs w:val="20"/>
        </w:rPr>
        <w:t xml:space="preserve"> </w:t>
      </w:r>
    </w:p>
  </w:footnote>
  <w:footnote w:id="90">
    <w:p w14:paraId="55366DB9" w14:textId="77777777" w:rsidR="008817F0" w:rsidRPr="00801364" w:rsidRDefault="008817F0" w:rsidP="00801364">
      <w:pPr>
        <w:rPr>
          <w:rFonts w:cstheme="minorHAnsi"/>
          <w:sz w:val="20"/>
          <w:szCs w:val="20"/>
        </w:rPr>
      </w:pPr>
      <w:r w:rsidRPr="00801364">
        <w:rPr>
          <w:rStyle w:val="FootnoteReference"/>
          <w:rFonts w:cstheme="minorHAnsi"/>
          <w:sz w:val="20"/>
          <w:szCs w:val="20"/>
        </w:rPr>
        <w:footnoteRef/>
      </w:r>
      <w:r w:rsidRPr="00801364">
        <w:rPr>
          <w:rFonts w:cstheme="minorHAnsi"/>
          <w:sz w:val="20"/>
          <w:szCs w:val="20"/>
        </w:rPr>
        <w:t xml:space="preserve"> </w:t>
      </w:r>
      <w:proofErr w:type="spellStart"/>
      <w:r w:rsidRPr="00801364">
        <w:rPr>
          <w:rFonts w:cstheme="minorHAnsi"/>
          <w:sz w:val="20"/>
          <w:szCs w:val="20"/>
        </w:rPr>
        <w:t>Onni</w:t>
      </w:r>
      <w:proofErr w:type="spellEnd"/>
      <w:r w:rsidRPr="00801364">
        <w:rPr>
          <w:rFonts w:cstheme="minorHAnsi"/>
          <w:sz w:val="20"/>
          <w:szCs w:val="20"/>
        </w:rPr>
        <w:t xml:space="preserve"> Gust ‘Teaching Transgender Studies in Turbulent Times’, </w:t>
      </w:r>
      <w:proofErr w:type="spellStart"/>
      <w:r w:rsidRPr="00801364">
        <w:rPr>
          <w:rFonts w:cstheme="minorHAnsi"/>
          <w:i/>
          <w:iCs/>
          <w:sz w:val="20"/>
          <w:szCs w:val="20"/>
        </w:rPr>
        <w:t>Freevoice</w:t>
      </w:r>
      <w:proofErr w:type="spellEnd"/>
      <w:r w:rsidRPr="00801364">
        <w:rPr>
          <w:rFonts w:cstheme="minorHAnsi"/>
          <w:i/>
          <w:iCs/>
          <w:sz w:val="20"/>
          <w:szCs w:val="20"/>
        </w:rPr>
        <w:t>: Education Magazine</w:t>
      </w:r>
      <w:r w:rsidRPr="00801364">
        <w:rPr>
          <w:rFonts w:cstheme="minorHAnsi"/>
          <w:sz w:val="20"/>
          <w:szCs w:val="20"/>
        </w:rPr>
        <w:t>, 1 May 2022</w:t>
      </w:r>
    </w:p>
    <w:p w14:paraId="241C4380" w14:textId="77777777" w:rsidR="008817F0" w:rsidRDefault="00000000" w:rsidP="00801364">
      <w:pPr>
        <w:rPr>
          <w:sz w:val="20"/>
          <w:szCs w:val="20"/>
        </w:rPr>
      </w:pPr>
      <w:hyperlink r:id="rId96">
        <w:r w:rsidR="008817F0" w:rsidRPr="00801364">
          <w:rPr>
            <w:rStyle w:val="Hyperlink"/>
            <w:rFonts w:cstheme="minorHAnsi"/>
            <w:sz w:val="20"/>
            <w:szCs w:val="20"/>
          </w:rPr>
          <w:t>https://shuddhashar.com/teaching-transgender-studies-in-turbulent-times/</w:t>
        </w:r>
      </w:hyperlink>
      <w:r w:rsidR="008817F0" w:rsidRPr="0B4088E5">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6044" w14:textId="10E05822" w:rsidR="00704B24" w:rsidRPr="00704B24" w:rsidRDefault="00704B24" w:rsidP="00704B24">
    <w:pPr>
      <w:pStyle w:val="Header"/>
      <w:jc w:val="center"/>
      <w:rPr>
        <w:sz w:val="48"/>
        <w:szCs w:val="48"/>
      </w:rPr>
    </w:pPr>
    <w:r w:rsidRPr="001927CF">
      <w:rPr>
        <w:rFonts w:ascii="Verdana" w:hAnsi="Verdana"/>
        <w:noProof/>
      </w:rPr>
      <w:drawing>
        <wp:inline distT="0" distB="0" distL="0" distR="0" wp14:anchorId="6491FCCB" wp14:editId="42C0E4E5">
          <wp:extent cx="1649051" cy="525080"/>
          <wp:effectExtent l="0" t="0" r="2540" b="0"/>
          <wp:docPr id="2012089670" name="Picture 2012089670" descr="History UK logo with tagline Working for Historians in Higher Education &#10;Also includes history uk website www.history-uk.ac.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89670" name="Picture 2012089670" descr="History UK logo with tagline Working for Historians in Higher Education &#10;Also includes history uk website www.history-uk.ac.uk "/>
                  <pic:cNvPicPr/>
                </pic:nvPicPr>
                <pic:blipFill>
                  <a:blip r:embed="rId1"/>
                  <a:stretch>
                    <a:fillRect/>
                  </a:stretch>
                </pic:blipFill>
                <pic:spPr>
                  <a:xfrm>
                    <a:off x="0" y="0"/>
                    <a:ext cx="1649051" cy="525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93AC3"/>
    <w:multiLevelType w:val="hybridMultilevel"/>
    <w:tmpl w:val="D86C2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8F8E4A"/>
    <w:multiLevelType w:val="hybridMultilevel"/>
    <w:tmpl w:val="A0242474"/>
    <w:lvl w:ilvl="0" w:tplc="FC224624">
      <w:start w:val="1"/>
      <w:numFmt w:val="bullet"/>
      <w:lvlText w:val=""/>
      <w:lvlJc w:val="left"/>
      <w:pPr>
        <w:ind w:left="720" w:hanging="360"/>
      </w:pPr>
      <w:rPr>
        <w:rFonts w:ascii="Symbol" w:hAnsi="Symbol" w:hint="default"/>
      </w:rPr>
    </w:lvl>
    <w:lvl w:ilvl="1" w:tplc="3BFC8D20">
      <w:start w:val="1"/>
      <w:numFmt w:val="bullet"/>
      <w:lvlText w:val="o"/>
      <w:lvlJc w:val="left"/>
      <w:pPr>
        <w:ind w:left="1440" w:hanging="360"/>
      </w:pPr>
      <w:rPr>
        <w:rFonts w:ascii="Courier New" w:hAnsi="Courier New" w:hint="default"/>
      </w:rPr>
    </w:lvl>
    <w:lvl w:ilvl="2" w:tplc="7F5C8416">
      <w:start w:val="1"/>
      <w:numFmt w:val="bullet"/>
      <w:lvlText w:val=""/>
      <w:lvlJc w:val="left"/>
      <w:pPr>
        <w:ind w:left="2160" w:hanging="360"/>
      </w:pPr>
      <w:rPr>
        <w:rFonts w:ascii="Wingdings" w:hAnsi="Wingdings" w:hint="default"/>
      </w:rPr>
    </w:lvl>
    <w:lvl w:ilvl="3" w:tplc="A03A5886">
      <w:start w:val="1"/>
      <w:numFmt w:val="bullet"/>
      <w:lvlText w:val=""/>
      <w:lvlJc w:val="left"/>
      <w:pPr>
        <w:ind w:left="2880" w:hanging="360"/>
      </w:pPr>
      <w:rPr>
        <w:rFonts w:ascii="Symbol" w:hAnsi="Symbol" w:hint="default"/>
      </w:rPr>
    </w:lvl>
    <w:lvl w:ilvl="4" w:tplc="A1E8C898">
      <w:start w:val="1"/>
      <w:numFmt w:val="bullet"/>
      <w:lvlText w:val="o"/>
      <w:lvlJc w:val="left"/>
      <w:pPr>
        <w:ind w:left="3600" w:hanging="360"/>
      </w:pPr>
      <w:rPr>
        <w:rFonts w:ascii="Courier New" w:hAnsi="Courier New" w:hint="default"/>
      </w:rPr>
    </w:lvl>
    <w:lvl w:ilvl="5" w:tplc="1D883878">
      <w:start w:val="1"/>
      <w:numFmt w:val="bullet"/>
      <w:lvlText w:val=""/>
      <w:lvlJc w:val="left"/>
      <w:pPr>
        <w:ind w:left="4320" w:hanging="360"/>
      </w:pPr>
      <w:rPr>
        <w:rFonts w:ascii="Wingdings" w:hAnsi="Wingdings" w:hint="default"/>
      </w:rPr>
    </w:lvl>
    <w:lvl w:ilvl="6" w:tplc="AAFAC430">
      <w:start w:val="1"/>
      <w:numFmt w:val="bullet"/>
      <w:lvlText w:val=""/>
      <w:lvlJc w:val="left"/>
      <w:pPr>
        <w:ind w:left="5040" w:hanging="360"/>
      </w:pPr>
      <w:rPr>
        <w:rFonts w:ascii="Symbol" w:hAnsi="Symbol" w:hint="default"/>
      </w:rPr>
    </w:lvl>
    <w:lvl w:ilvl="7" w:tplc="E4C608B0">
      <w:start w:val="1"/>
      <w:numFmt w:val="bullet"/>
      <w:lvlText w:val="o"/>
      <w:lvlJc w:val="left"/>
      <w:pPr>
        <w:ind w:left="5760" w:hanging="360"/>
      </w:pPr>
      <w:rPr>
        <w:rFonts w:ascii="Courier New" w:hAnsi="Courier New" w:hint="default"/>
      </w:rPr>
    </w:lvl>
    <w:lvl w:ilvl="8" w:tplc="CC8A5BA2">
      <w:start w:val="1"/>
      <w:numFmt w:val="bullet"/>
      <w:lvlText w:val=""/>
      <w:lvlJc w:val="left"/>
      <w:pPr>
        <w:ind w:left="6480" w:hanging="360"/>
      </w:pPr>
      <w:rPr>
        <w:rFonts w:ascii="Wingdings" w:hAnsi="Wingdings" w:hint="default"/>
      </w:rPr>
    </w:lvl>
  </w:abstractNum>
  <w:abstractNum w:abstractNumId="6" w15:restartNumberingAfterBreak="0">
    <w:nsid w:val="061FC5E3"/>
    <w:multiLevelType w:val="hybridMultilevel"/>
    <w:tmpl w:val="B08C7E9E"/>
    <w:lvl w:ilvl="0" w:tplc="DFB23EE4">
      <w:start w:val="1"/>
      <w:numFmt w:val="bullet"/>
      <w:lvlText w:val=""/>
      <w:lvlJc w:val="left"/>
      <w:pPr>
        <w:ind w:left="720" w:hanging="360"/>
      </w:pPr>
      <w:rPr>
        <w:rFonts w:ascii="Symbol" w:hAnsi="Symbol" w:hint="default"/>
      </w:rPr>
    </w:lvl>
    <w:lvl w:ilvl="1" w:tplc="33E8A5F8">
      <w:start w:val="1"/>
      <w:numFmt w:val="bullet"/>
      <w:lvlText w:val="o"/>
      <w:lvlJc w:val="left"/>
      <w:pPr>
        <w:ind w:left="1440" w:hanging="360"/>
      </w:pPr>
      <w:rPr>
        <w:rFonts w:ascii="Courier New" w:hAnsi="Courier New" w:hint="default"/>
      </w:rPr>
    </w:lvl>
    <w:lvl w:ilvl="2" w:tplc="8F2C218E">
      <w:start w:val="1"/>
      <w:numFmt w:val="bullet"/>
      <w:lvlText w:val=""/>
      <w:lvlJc w:val="left"/>
      <w:pPr>
        <w:ind w:left="2160" w:hanging="360"/>
      </w:pPr>
      <w:rPr>
        <w:rFonts w:ascii="Wingdings" w:hAnsi="Wingdings" w:hint="default"/>
      </w:rPr>
    </w:lvl>
    <w:lvl w:ilvl="3" w:tplc="D0BEC270">
      <w:start w:val="1"/>
      <w:numFmt w:val="bullet"/>
      <w:lvlText w:val=""/>
      <w:lvlJc w:val="left"/>
      <w:pPr>
        <w:ind w:left="2880" w:hanging="360"/>
      </w:pPr>
      <w:rPr>
        <w:rFonts w:ascii="Symbol" w:hAnsi="Symbol" w:hint="default"/>
      </w:rPr>
    </w:lvl>
    <w:lvl w:ilvl="4" w:tplc="F1422D38">
      <w:start w:val="1"/>
      <w:numFmt w:val="bullet"/>
      <w:lvlText w:val="o"/>
      <w:lvlJc w:val="left"/>
      <w:pPr>
        <w:ind w:left="3600" w:hanging="360"/>
      </w:pPr>
      <w:rPr>
        <w:rFonts w:ascii="Courier New" w:hAnsi="Courier New" w:hint="default"/>
      </w:rPr>
    </w:lvl>
    <w:lvl w:ilvl="5" w:tplc="066E2A90">
      <w:start w:val="1"/>
      <w:numFmt w:val="bullet"/>
      <w:lvlText w:val=""/>
      <w:lvlJc w:val="left"/>
      <w:pPr>
        <w:ind w:left="4320" w:hanging="360"/>
      </w:pPr>
      <w:rPr>
        <w:rFonts w:ascii="Wingdings" w:hAnsi="Wingdings" w:hint="default"/>
      </w:rPr>
    </w:lvl>
    <w:lvl w:ilvl="6" w:tplc="5A887A8A">
      <w:start w:val="1"/>
      <w:numFmt w:val="bullet"/>
      <w:lvlText w:val=""/>
      <w:lvlJc w:val="left"/>
      <w:pPr>
        <w:ind w:left="5040" w:hanging="360"/>
      </w:pPr>
      <w:rPr>
        <w:rFonts w:ascii="Symbol" w:hAnsi="Symbol" w:hint="default"/>
      </w:rPr>
    </w:lvl>
    <w:lvl w:ilvl="7" w:tplc="9F8665D2">
      <w:start w:val="1"/>
      <w:numFmt w:val="bullet"/>
      <w:lvlText w:val="o"/>
      <w:lvlJc w:val="left"/>
      <w:pPr>
        <w:ind w:left="5760" w:hanging="360"/>
      </w:pPr>
      <w:rPr>
        <w:rFonts w:ascii="Courier New" w:hAnsi="Courier New" w:hint="default"/>
      </w:rPr>
    </w:lvl>
    <w:lvl w:ilvl="8" w:tplc="C0B2FD7C">
      <w:start w:val="1"/>
      <w:numFmt w:val="bullet"/>
      <w:lvlText w:val=""/>
      <w:lvlJc w:val="left"/>
      <w:pPr>
        <w:ind w:left="6480" w:hanging="360"/>
      </w:pPr>
      <w:rPr>
        <w:rFonts w:ascii="Wingdings" w:hAnsi="Wingdings" w:hint="default"/>
      </w:rPr>
    </w:lvl>
  </w:abstractNum>
  <w:abstractNum w:abstractNumId="7" w15:restartNumberingAfterBreak="0">
    <w:nsid w:val="078C2B54"/>
    <w:multiLevelType w:val="hybridMultilevel"/>
    <w:tmpl w:val="82A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EB77B"/>
    <w:multiLevelType w:val="hybridMultilevel"/>
    <w:tmpl w:val="8258D2DC"/>
    <w:lvl w:ilvl="0" w:tplc="CA221F52">
      <w:start w:val="1"/>
      <w:numFmt w:val="bullet"/>
      <w:lvlText w:val=""/>
      <w:lvlJc w:val="left"/>
      <w:pPr>
        <w:ind w:left="720" w:hanging="360"/>
      </w:pPr>
      <w:rPr>
        <w:rFonts w:ascii="Symbol" w:hAnsi="Symbol" w:hint="default"/>
      </w:rPr>
    </w:lvl>
    <w:lvl w:ilvl="1" w:tplc="E230EF90">
      <w:start w:val="1"/>
      <w:numFmt w:val="bullet"/>
      <w:lvlText w:val="o"/>
      <w:lvlJc w:val="left"/>
      <w:pPr>
        <w:ind w:left="1440" w:hanging="360"/>
      </w:pPr>
      <w:rPr>
        <w:rFonts w:ascii="Courier New" w:hAnsi="Courier New" w:hint="default"/>
      </w:rPr>
    </w:lvl>
    <w:lvl w:ilvl="2" w:tplc="EE001DDE">
      <w:start w:val="1"/>
      <w:numFmt w:val="bullet"/>
      <w:lvlText w:val=""/>
      <w:lvlJc w:val="left"/>
      <w:pPr>
        <w:ind w:left="2160" w:hanging="360"/>
      </w:pPr>
      <w:rPr>
        <w:rFonts w:ascii="Wingdings" w:hAnsi="Wingdings" w:hint="default"/>
      </w:rPr>
    </w:lvl>
    <w:lvl w:ilvl="3" w:tplc="2360731A">
      <w:start w:val="1"/>
      <w:numFmt w:val="bullet"/>
      <w:lvlText w:val=""/>
      <w:lvlJc w:val="left"/>
      <w:pPr>
        <w:ind w:left="2880" w:hanging="360"/>
      </w:pPr>
      <w:rPr>
        <w:rFonts w:ascii="Symbol" w:hAnsi="Symbol" w:hint="default"/>
      </w:rPr>
    </w:lvl>
    <w:lvl w:ilvl="4" w:tplc="2EC6BA68">
      <w:start w:val="1"/>
      <w:numFmt w:val="bullet"/>
      <w:lvlText w:val="o"/>
      <w:lvlJc w:val="left"/>
      <w:pPr>
        <w:ind w:left="3600" w:hanging="360"/>
      </w:pPr>
      <w:rPr>
        <w:rFonts w:ascii="Courier New" w:hAnsi="Courier New" w:hint="default"/>
      </w:rPr>
    </w:lvl>
    <w:lvl w:ilvl="5" w:tplc="AEAEBBFA">
      <w:start w:val="1"/>
      <w:numFmt w:val="bullet"/>
      <w:lvlText w:val=""/>
      <w:lvlJc w:val="left"/>
      <w:pPr>
        <w:ind w:left="4320" w:hanging="360"/>
      </w:pPr>
      <w:rPr>
        <w:rFonts w:ascii="Wingdings" w:hAnsi="Wingdings" w:hint="default"/>
      </w:rPr>
    </w:lvl>
    <w:lvl w:ilvl="6" w:tplc="0F581580">
      <w:start w:val="1"/>
      <w:numFmt w:val="bullet"/>
      <w:lvlText w:val=""/>
      <w:lvlJc w:val="left"/>
      <w:pPr>
        <w:ind w:left="5040" w:hanging="360"/>
      </w:pPr>
      <w:rPr>
        <w:rFonts w:ascii="Symbol" w:hAnsi="Symbol" w:hint="default"/>
      </w:rPr>
    </w:lvl>
    <w:lvl w:ilvl="7" w:tplc="375C377E">
      <w:start w:val="1"/>
      <w:numFmt w:val="bullet"/>
      <w:lvlText w:val="o"/>
      <w:lvlJc w:val="left"/>
      <w:pPr>
        <w:ind w:left="5760" w:hanging="360"/>
      </w:pPr>
      <w:rPr>
        <w:rFonts w:ascii="Courier New" w:hAnsi="Courier New" w:hint="default"/>
      </w:rPr>
    </w:lvl>
    <w:lvl w:ilvl="8" w:tplc="2FCE6E7A">
      <w:start w:val="1"/>
      <w:numFmt w:val="bullet"/>
      <w:lvlText w:val=""/>
      <w:lvlJc w:val="left"/>
      <w:pPr>
        <w:ind w:left="6480" w:hanging="360"/>
      </w:pPr>
      <w:rPr>
        <w:rFonts w:ascii="Wingdings" w:hAnsi="Wingdings" w:hint="default"/>
      </w:rPr>
    </w:lvl>
  </w:abstractNum>
  <w:abstractNum w:abstractNumId="9" w15:restartNumberingAfterBreak="0">
    <w:nsid w:val="0BDAE343"/>
    <w:multiLevelType w:val="hybridMultilevel"/>
    <w:tmpl w:val="EAC2A5CE"/>
    <w:lvl w:ilvl="0" w:tplc="44049836">
      <w:start w:val="1"/>
      <w:numFmt w:val="bullet"/>
      <w:lvlText w:val=""/>
      <w:lvlJc w:val="left"/>
      <w:pPr>
        <w:ind w:left="720" w:hanging="360"/>
      </w:pPr>
      <w:rPr>
        <w:rFonts w:ascii="Symbol" w:hAnsi="Symbol" w:hint="default"/>
      </w:rPr>
    </w:lvl>
    <w:lvl w:ilvl="1" w:tplc="F04C2E1A">
      <w:start w:val="1"/>
      <w:numFmt w:val="bullet"/>
      <w:lvlText w:val="o"/>
      <w:lvlJc w:val="left"/>
      <w:pPr>
        <w:ind w:left="1440" w:hanging="360"/>
      </w:pPr>
      <w:rPr>
        <w:rFonts w:ascii="Courier New" w:hAnsi="Courier New" w:hint="default"/>
      </w:rPr>
    </w:lvl>
    <w:lvl w:ilvl="2" w:tplc="241E1CAA">
      <w:start w:val="1"/>
      <w:numFmt w:val="bullet"/>
      <w:lvlText w:val=""/>
      <w:lvlJc w:val="left"/>
      <w:pPr>
        <w:ind w:left="2160" w:hanging="360"/>
      </w:pPr>
      <w:rPr>
        <w:rFonts w:ascii="Wingdings" w:hAnsi="Wingdings" w:hint="default"/>
      </w:rPr>
    </w:lvl>
    <w:lvl w:ilvl="3" w:tplc="EA24221A">
      <w:start w:val="1"/>
      <w:numFmt w:val="bullet"/>
      <w:lvlText w:val=""/>
      <w:lvlJc w:val="left"/>
      <w:pPr>
        <w:ind w:left="2880" w:hanging="360"/>
      </w:pPr>
      <w:rPr>
        <w:rFonts w:ascii="Symbol" w:hAnsi="Symbol" w:hint="default"/>
      </w:rPr>
    </w:lvl>
    <w:lvl w:ilvl="4" w:tplc="AF54B448">
      <w:start w:val="1"/>
      <w:numFmt w:val="bullet"/>
      <w:lvlText w:val="o"/>
      <w:lvlJc w:val="left"/>
      <w:pPr>
        <w:ind w:left="3600" w:hanging="360"/>
      </w:pPr>
      <w:rPr>
        <w:rFonts w:ascii="Courier New" w:hAnsi="Courier New" w:hint="default"/>
      </w:rPr>
    </w:lvl>
    <w:lvl w:ilvl="5" w:tplc="C3E84288">
      <w:start w:val="1"/>
      <w:numFmt w:val="bullet"/>
      <w:lvlText w:val=""/>
      <w:lvlJc w:val="left"/>
      <w:pPr>
        <w:ind w:left="4320" w:hanging="360"/>
      </w:pPr>
      <w:rPr>
        <w:rFonts w:ascii="Wingdings" w:hAnsi="Wingdings" w:hint="default"/>
      </w:rPr>
    </w:lvl>
    <w:lvl w:ilvl="6" w:tplc="B48C106E">
      <w:start w:val="1"/>
      <w:numFmt w:val="bullet"/>
      <w:lvlText w:val=""/>
      <w:lvlJc w:val="left"/>
      <w:pPr>
        <w:ind w:left="5040" w:hanging="360"/>
      </w:pPr>
      <w:rPr>
        <w:rFonts w:ascii="Symbol" w:hAnsi="Symbol" w:hint="default"/>
      </w:rPr>
    </w:lvl>
    <w:lvl w:ilvl="7" w:tplc="94F60BD8">
      <w:start w:val="1"/>
      <w:numFmt w:val="bullet"/>
      <w:lvlText w:val="o"/>
      <w:lvlJc w:val="left"/>
      <w:pPr>
        <w:ind w:left="5760" w:hanging="360"/>
      </w:pPr>
      <w:rPr>
        <w:rFonts w:ascii="Courier New" w:hAnsi="Courier New" w:hint="default"/>
      </w:rPr>
    </w:lvl>
    <w:lvl w:ilvl="8" w:tplc="BA12F17A">
      <w:start w:val="1"/>
      <w:numFmt w:val="bullet"/>
      <w:lvlText w:val=""/>
      <w:lvlJc w:val="left"/>
      <w:pPr>
        <w:ind w:left="6480" w:hanging="360"/>
      </w:pPr>
      <w:rPr>
        <w:rFonts w:ascii="Wingdings" w:hAnsi="Wingdings" w:hint="default"/>
      </w:rPr>
    </w:lvl>
  </w:abstractNum>
  <w:abstractNum w:abstractNumId="10" w15:restartNumberingAfterBreak="0">
    <w:nsid w:val="0BE908D4"/>
    <w:multiLevelType w:val="multilevel"/>
    <w:tmpl w:val="D27E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64539C"/>
    <w:multiLevelType w:val="hybridMultilevel"/>
    <w:tmpl w:val="0CCC6504"/>
    <w:lvl w:ilvl="0" w:tplc="6712B116">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1368A"/>
    <w:multiLevelType w:val="multilevel"/>
    <w:tmpl w:val="F23EE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DB8392"/>
    <w:multiLevelType w:val="hybridMultilevel"/>
    <w:tmpl w:val="F970BFAA"/>
    <w:lvl w:ilvl="0" w:tplc="84DEBFCE">
      <w:start w:val="1"/>
      <w:numFmt w:val="bullet"/>
      <w:lvlText w:val="-"/>
      <w:lvlJc w:val="left"/>
      <w:pPr>
        <w:ind w:left="720" w:hanging="360"/>
      </w:pPr>
      <w:rPr>
        <w:rFonts w:ascii="Calibri" w:hAnsi="Calibri" w:hint="default"/>
      </w:rPr>
    </w:lvl>
    <w:lvl w:ilvl="1" w:tplc="DEB6A682">
      <w:start w:val="1"/>
      <w:numFmt w:val="bullet"/>
      <w:lvlText w:val="o"/>
      <w:lvlJc w:val="left"/>
      <w:pPr>
        <w:ind w:left="1440" w:hanging="360"/>
      </w:pPr>
      <w:rPr>
        <w:rFonts w:ascii="Courier New" w:hAnsi="Courier New" w:hint="default"/>
      </w:rPr>
    </w:lvl>
    <w:lvl w:ilvl="2" w:tplc="45CAE2B6">
      <w:start w:val="1"/>
      <w:numFmt w:val="bullet"/>
      <w:lvlText w:val=""/>
      <w:lvlJc w:val="left"/>
      <w:pPr>
        <w:ind w:left="2160" w:hanging="360"/>
      </w:pPr>
      <w:rPr>
        <w:rFonts w:ascii="Wingdings" w:hAnsi="Wingdings" w:hint="default"/>
      </w:rPr>
    </w:lvl>
    <w:lvl w:ilvl="3" w:tplc="0342557C">
      <w:start w:val="1"/>
      <w:numFmt w:val="bullet"/>
      <w:lvlText w:val=""/>
      <w:lvlJc w:val="left"/>
      <w:pPr>
        <w:ind w:left="2880" w:hanging="360"/>
      </w:pPr>
      <w:rPr>
        <w:rFonts w:ascii="Symbol" w:hAnsi="Symbol" w:hint="default"/>
      </w:rPr>
    </w:lvl>
    <w:lvl w:ilvl="4" w:tplc="11FC6E48">
      <w:start w:val="1"/>
      <w:numFmt w:val="bullet"/>
      <w:lvlText w:val="o"/>
      <w:lvlJc w:val="left"/>
      <w:pPr>
        <w:ind w:left="3600" w:hanging="360"/>
      </w:pPr>
      <w:rPr>
        <w:rFonts w:ascii="Courier New" w:hAnsi="Courier New" w:hint="default"/>
      </w:rPr>
    </w:lvl>
    <w:lvl w:ilvl="5" w:tplc="4886B9A2">
      <w:start w:val="1"/>
      <w:numFmt w:val="bullet"/>
      <w:lvlText w:val=""/>
      <w:lvlJc w:val="left"/>
      <w:pPr>
        <w:ind w:left="4320" w:hanging="360"/>
      </w:pPr>
      <w:rPr>
        <w:rFonts w:ascii="Wingdings" w:hAnsi="Wingdings" w:hint="default"/>
      </w:rPr>
    </w:lvl>
    <w:lvl w:ilvl="6" w:tplc="232EF942">
      <w:start w:val="1"/>
      <w:numFmt w:val="bullet"/>
      <w:lvlText w:val=""/>
      <w:lvlJc w:val="left"/>
      <w:pPr>
        <w:ind w:left="5040" w:hanging="360"/>
      </w:pPr>
      <w:rPr>
        <w:rFonts w:ascii="Symbol" w:hAnsi="Symbol" w:hint="default"/>
      </w:rPr>
    </w:lvl>
    <w:lvl w:ilvl="7" w:tplc="DBD06A5A">
      <w:start w:val="1"/>
      <w:numFmt w:val="bullet"/>
      <w:lvlText w:val="o"/>
      <w:lvlJc w:val="left"/>
      <w:pPr>
        <w:ind w:left="5760" w:hanging="360"/>
      </w:pPr>
      <w:rPr>
        <w:rFonts w:ascii="Courier New" w:hAnsi="Courier New" w:hint="default"/>
      </w:rPr>
    </w:lvl>
    <w:lvl w:ilvl="8" w:tplc="8362B5A4">
      <w:start w:val="1"/>
      <w:numFmt w:val="bullet"/>
      <w:lvlText w:val=""/>
      <w:lvlJc w:val="left"/>
      <w:pPr>
        <w:ind w:left="6480" w:hanging="360"/>
      </w:pPr>
      <w:rPr>
        <w:rFonts w:ascii="Wingdings" w:hAnsi="Wingdings" w:hint="default"/>
      </w:rPr>
    </w:lvl>
  </w:abstractNum>
  <w:abstractNum w:abstractNumId="14" w15:restartNumberingAfterBreak="0">
    <w:nsid w:val="1C0353E3"/>
    <w:multiLevelType w:val="multilevel"/>
    <w:tmpl w:val="07E8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9639BF"/>
    <w:multiLevelType w:val="hybridMultilevel"/>
    <w:tmpl w:val="E972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98302D"/>
    <w:multiLevelType w:val="hybridMultilevel"/>
    <w:tmpl w:val="BD00444C"/>
    <w:lvl w:ilvl="0" w:tplc="A4365C6E">
      <w:start w:val="1"/>
      <w:numFmt w:val="bullet"/>
      <w:lvlText w:val=""/>
      <w:lvlJc w:val="left"/>
      <w:pPr>
        <w:ind w:left="720" w:hanging="360"/>
      </w:pPr>
      <w:rPr>
        <w:rFonts w:ascii="Symbol" w:hAnsi="Symbol" w:hint="default"/>
      </w:rPr>
    </w:lvl>
    <w:lvl w:ilvl="1" w:tplc="6B540516">
      <w:start w:val="1"/>
      <w:numFmt w:val="bullet"/>
      <w:lvlText w:val="o"/>
      <w:lvlJc w:val="left"/>
      <w:pPr>
        <w:ind w:left="1440" w:hanging="360"/>
      </w:pPr>
      <w:rPr>
        <w:rFonts w:ascii="Courier New" w:hAnsi="Courier New" w:hint="default"/>
      </w:rPr>
    </w:lvl>
    <w:lvl w:ilvl="2" w:tplc="838AAEFC">
      <w:start w:val="1"/>
      <w:numFmt w:val="bullet"/>
      <w:lvlText w:val=""/>
      <w:lvlJc w:val="left"/>
      <w:pPr>
        <w:ind w:left="2160" w:hanging="360"/>
      </w:pPr>
      <w:rPr>
        <w:rFonts w:ascii="Wingdings" w:hAnsi="Wingdings" w:hint="default"/>
      </w:rPr>
    </w:lvl>
    <w:lvl w:ilvl="3" w:tplc="9D18378A">
      <w:start w:val="1"/>
      <w:numFmt w:val="bullet"/>
      <w:lvlText w:val=""/>
      <w:lvlJc w:val="left"/>
      <w:pPr>
        <w:ind w:left="2880" w:hanging="360"/>
      </w:pPr>
      <w:rPr>
        <w:rFonts w:ascii="Symbol" w:hAnsi="Symbol" w:hint="default"/>
      </w:rPr>
    </w:lvl>
    <w:lvl w:ilvl="4" w:tplc="F1BC49B2">
      <w:start w:val="1"/>
      <w:numFmt w:val="bullet"/>
      <w:lvlText w:val="o"/>
      <w:lvlJc w:val="left"/>
      <w:pPr>
        <w:ind w:left="3600" w:hanging="360"/>
      </w:pPr>
      <w:rPr>
        <w:rFonts w:ascii="Courier New" w:hAnsi="Courier New" w:hint="default"/>
      </w:rPr>
    </w:lvl>
    <w:lvl w:ilvl="5" w:tplc="8856F0AC">
      <w:start w:val="1"/>
      <w:numFmt w:val="bullet"/>
      <w:lvlText w:val=""/>
      <w:lvlJc w:val="left"/>
      <w:pPr>
        <w:ind w:left="4320" w:hanging="360"/>
      </w:pPr>
      <w:rPr>
        <w:rFonts w:ascii="Wingdings" w:hAnsi="Wingdings" w:hint="default"/>
      </w:rPr>
    </w:lvl>
    <w:lvl w:ilvl="6" w:tplc="87684AD6">
      <w:start w:val="1"/>
      <w:numFmt w:val="bullet"/>
      <w:lvlText w:val=""/>
      <w:lvlJc w:val="left"/>
      <w:pPr>
        <w:ind w:left="5040" w:hanging="360"/>
      </w:pPr>
      <w:rPr>
        <w:rFonts w:ascii="Symbol" w:hAnsi="Symbol" w:hint="default"/>
      </w:rPr>
    </w:lvl>
    <w:lvl w:ilvl="7" w:tplc="67EAFE5C">
      <w:start w:val="1"/>
      <w:numFmt w:val="bullet"/>
      <w:lvlText w:val="o"/>
      <w:lvlJc w:val="left"/>
      <w:pPr>
        <w:ind w:left="5760" w:hanging="360"/>
      </w:pPr>
      <w:rPr>
        <w:rFonts w:ascii="Courier New" w:hAnsi="Courier New" w:hint="default"/>
      </w:rPr>
    </w:lvl>
    <w:lvl w:ilvl="8" w:tplc="B7CEE29C">
      <w:start w:val="1"/>
      <w:numFmt w:val="bullet"/>
      <w:lvlText w:val=""/>
      <w:lvlJc w:val="left"/>
      <w:pPr>
        <w:ind w:left="6480" w:hanging="360"/>
      </w:pPr>
      <w:rPr>
        <w:rFonts w:ascii="Wingdings" w:hAnsi="Wingdings" w:hint="default"/>
      </w:rPr>
    </w:lvl>
  </w:abstractNum>
  <w:abstractNum w:abstractNumId="17" w15:restartNumberingAfterBreak="0">
    <w:nsid w:val="1E9F7736"/>
    <w:multiLevelType w:val="hybridMultilevel"/>
    <w:tmpl w:val="B02AC194"/>
    <w:lvl w:ilvl="0" w:tplc="DB5E2C58">
      <w:start w:val="1"/>
      <w:numFmt w:val="bullet"/>
      <w:lvlText w:val=""/>
      <w:lvlJc w:val="left"/>
      <w:pPr>
        <w:ind w:left="720" w:hanging="360"/>
      </w:pPr>
      <w:rPr>
        <w:rFonts w:ascii="Symbol" w:hAnsi="Symbol" w:hint="default"/>
      </w:rPr>
    </w:lvl>
    <w:lvl w:ilvl="1" w:tplc="8730A7FC">
      <w:start w:val="1"/>
      <w:numFmt w:val="bullet"/>
      <w:lvlText w:val="o"/>
      <w:lvlJc w:val="left"/>
      <w:pPr>
        <w:ind w:left="1440" w:hanging="360"/>
      </w:pPr>
      <w:rPr>
        <w:rFonts w:ascii="Courier New" w:hAnsi="Courier New" w:hint="default"/>
      </w:rPr>
    </w:lvl>
    <w:lvl w:ilvl="2" w:tplc="146831A0">
      <w:start w:val="1"/>
      <w:numFmt w:val="bullet"/>
      <w:lvlText w:val=""/>
      <w:lvlJc w:val="left"/>
      <w:pPr>
        <w:ind w:left="2160" w:hanging="360"/>
      </w:pPr>
      <w:rPr>
        <w:rFonts w:ascii="Wingdings" w:hAnsi="Wingdings" w:hint="default"/>
      </w:rPr>
    </w:lvl>
    <w:lvl w:ilvl="3" w:tplc="22E0602A">
      <w:start w:val="1"/>
      <w:numFmt w:val="bullet"/>
      <w:lvlText w:val=""/>
      <w:lvlJc w:val="left"/>
      <w:pPr>
        <w:ind w:left="2880" w:hanging="360"/>
      </w:pPr>
      <w:rPr>
        <w:rFonts w:ascii="Symbol" w:hAnsi="Symbol" w:hint="default"/>
      </w:rPr>
    </w:lvl>
    <w:lvl w:ilvl="4" w:tplc="7E9A586E">
      <w:start w:val="1"/>
      <w:numFmt w:val="bullet"/>
      <w:lvlText w:val="o"/>
      <w:lvlJc w:val="left"/>
      <w:pPr>
        <w:ind w:left="3600" w:hanging="360"/>
      </w:pPr>
      <w:rPr>
        <w:rFonts w:ascii="Courier New" w:hAnsi="Courier New" w:hint="default"/>
      </w:rPr>
    </w:lvl>
    <w:lvl w:ilvl="5" w:tplc="FD38F816">
      <w:start w:val="1"/>
      <w:numFmt w:val="bullet"/>
      <w:lvlText w:val=""/>
      <w:lvlJc w:val="left"/>
      <w:pPr>
        <w:ind w:left="4320" w:hanging="360"/>
      </w:pPr>
      <w:rPr>
        <w:rFonts w:ascii="Wingdings" w:hAnsi="Wingdings" w:hint="default"/>
      </w:rPr>
    </w:lvl>
    <w:lvl w:ilvl="6" w:tplc="1FF2D924">
      <w:start w:val="1"/>
      <w:numFmt w:val="bullet"/>
      <w:lvlText w:val=""/>
      <w:lvlJc w:val="left"/>
      <w:pPr>
        <w:ind w:left="5040" w:hanging="360"/>
      </w:pPr>
      <w:rPr>
        <w:rFonts w:ascii="Symbol" w:hAnsi="Symbol" w:hint="default"/>
      </w:rPr>
    </w:lvl>
    <w:lvl w:ilvl="7" w:tplc="E3745716">
      <w:start w:val="1"/>
      <w:numFmt w:val="bullet"/>
      <w:lvlText w:val="o"/>
      <w:lvlJc w:val="left"/>
      <w:pPr>
        <w:ind w:left="5760" w:hanging="360"/>
      </w:pPr>
      <w:rPr>
        <w:rFonts w:ascii="Courier New" w:hAnsi="Courier New" w:hint="default"/>
      </w:rPr>
    </w:lvl>
    <w:lvl w:ilvl="8" w:tplc="6E786380">
      <w:start w:val="1"/>
      <w:numFmt w:val="bullet"/>
      <w:lvlText w:val=""/>
      <w:lvlJc w:val="left"/>
      <w:pPr>
        <w:ind w:left="6480" w:hanging="360"/>
      </w:pPr>
      <w:rPr>
        <w:rFonts w:ascii="Wingdings" w:hAnsi="Wingdings" w:hint="default"/>
      </w:rPr>
    </w:lvl>
  </w:abstractNum>
  <w:abstractNum w:abstractNumId="18" w15:restartNumberingAfterBreak="0">
    <w:nsid w:val="1FEF449B"/>
    <w:multiLevelType w:val="hybridMultilevel"/>
    <w:tmpl w:val="5B0C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A5410"/>
    <w:multiLevelType w:val="hybridMultilevel"/>
    <w:tmpl w:val="A660578E"/>
    <w:lvl w:ilvl="0" w:tplc="04090001">
      <w:start w:val="1"/>
      <w:numFmt w:val="bullet"/>
      <w:lvlText w:val=""/>
      <w:lvlJc w:val="left"/>
      <w:pPr>
        <w:ind w:left="720" w:hanging="360"/>
      </w:pPr>
      <w:rPr>
        <w:rFonts w:ascii="Symbol" w:hAnsi="Symbol" w:hint="default"/>
      </w:rPr>
    </w:lvl>
    <w:lvl w:ilvl="1" w:tplc="193A21F4">
      <w:numFmt w:val="bullet"/>
      <w:lvlText w:val="-"/>
      <w:lvlJc w:val="left"/>
      <w:pPr>
        <w:ind w:left="1133"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465B6"/>
    <w:multiLevelType w:val="hybridMultilevel"/>
    <w:tmpl w:val="3462E158"/>
    <w:lvl w:ilvl="0" w:tplc="193A21F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403D52"/>
    <w:multiLevelType w:val="hybridMultilevel"/>
    <w:tmpl w:val="8930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30B4C"/>
    <w:multiLevelType w:val="hybridMultilevel"/>
    <w:tmpl w:val="5ACA8B18"/>
    <w:lvl w:ilvl="0" w:tplc="B24A5EB0">
      <w:start w:val="1"/>
      <w:numFmt w:val="bullet"/>
      <w:lvlText w:val=""/>
      <w:lvlJc w:val="left"/>
      <w:pPr>
        <w:ind w:left="720" w:hanging="360"/>
      </w:pPr>
      <w:rPr>
        <w:rFonts w:ascii="Symbol" w:hAnsi="Symbol" w:hint="default"/>
      </w:rPr>
    </w:lvl>
    <w:lvl w:ilvl="1" w:tplc="073CF366">
      <w:start w:val="1"/>
      <w:numFmt w:val="bullet"/>
      <w:lvlText w:val="o"/>
      <w:lvlJc w:val="left"/>
      <w:pPr>
        <w:ind w:left="1440" w:hanging="360"/>
      </w:pPr>
      <w:rPr>
        <w:rFonts w:ascii="Courier New" w:hAnsi="Courier New" w:hint="default"/>
      </w:rPr>
    </w:lvl>
    <w:lvl w:ilvl="2" w:tplc="3774CCD2">
      <w:start w:val="1"/>
      <w:numFmt w:val="bullet"/>
      <w:lvlText w:val=""/>
      <w:lvlJc w:val="left"/>
      <w:pPr>
        <w:ind w:left="2160" w:hanging="360"/>
      </w:pPr>
      <w:rPr>
        <w:rFonts w:ascii="Wingdings" w:hAnsi="Wingdings" w:hint="default"/>
      </w:rPr>
    </w:lvl>
    <w:lvl w:ilvl="3" w:tplc="38626820">
      <w:start w:val="1"/>
      <w:numFmt w:val="bullet"/>
      <w:lvlText w:val=""/>
      <w:lvlJc w:val="left"/>
      <w:pPr>
        <w:ind w:left="2880" w:hanging="360"/>
      </w:pPr>
      <w:rPr>
        <w:rFonts w:ascii="Symbol" w:hAnsi="Symbol" w:hint="default"/>
      </w:rPr>
    </w:lvl>
    <w:lvl w:ilvl="4" w:tplc="1618F26E">
      <w:start w:val="1"/>
      <w:numFmt w:val="bullet"/>
      <w:lvlText w:val="o"/>
      <w:lvlJc w:val="left"/>
      <w:pPr>
        <w:ind w:left="3600" w:hanging="360"/>
      </w:pPr>
      <w:rPr>
        <w:rFonts w:ascii="Courier New" w:hAnsi="Courier New" w:hint="default"/>
      </w:rPr>
    </w:lvl>
    <w:lvl w:ilvl="5" w:tplc="1204814A">
      <w:start w:val="1"/>
      <w:numFmt w:val="bullet"/>
      <w:lvlText w:val=""/>
      <w:lvlJc w:val="left"/>
      <w:pPr>
        <w:ind w:left="4320" w:hanging="360"/>
      </w:pPr>
      <w:rPr>
        <w:rFonts w:ascii="Wingdings" w:hAnsi="Wingdings" w:hint="default"/>
      </w:rPr>
    </w:lvl>
    <w:lvl w:ilvl="6" w:tplc="64CC72B6">
      <w:start w:val="1"/>
      <w:numFmt w:val="bullet"/>
      <w:lvlText w:val=""/>
      <w:lvlJc w:val="left"/>
      <w:pPr>
        <w:ind w:left="5040" w:hanging="360"/>
      </w:pPr>
      <w:rPr>
        <w:rFonts w:ascii="Symbol" w:hAnsi="Symbol" w:hint="default"/>
      </w:rPr>
    </w:lvl>
    <w:lvl w:ilvl="7" w:tplc="460CCF5A">
      <w:start w:val="1"/>
      <w:numFmt w:val="bullet"/>
      <w:lvlText w:val="o"/>
      <w:lvlJc w:val="left"/>
      <w:pPr>
        <w:ind w:left="5760" w:hanging="360"/>
      </w:pPr>
      <w:rPr>
        <w:rFonts w:ascii="Courier New" w:hAnsi="Courier New" w:hint="default"/>
      </w:rPr>
    </w:lvl>
    <w:lvl w:ilvl="8" w:tplc="35F09DEC">
      <w:start w:val="1"/>
      <w:numFmt w:val="bullet"/>
      <w:lvlText w:val=""/>
      <w:lvlJc w:val="left"/>
      <w:pPr>
        <w:ind w:left="6480" w:hanging="360"/>
      </w:pPr>
      <w:rPr>
        <w:rFonts w:ascii="Wingdings" w:hAnsi="Wingdings" w:hint="default"/>
      </w:rPr>
    </w:lvl>
  </w:abstractNum>
  <w:abstractNum w:abstractNumId="23" w15:restartNumberingAfterBreak="0">
    <w:nsid w:val="395C4B6C"/>
    <w:multiLevelType w:val="hybridMultilevel"/>
    <w:tmpl w:val="C2ACBE38"/>
    <w:lvl w:ilvl="0" w:tplc="193A21F4">
      <w:numFmt w:val="bullet"/>
      <w:lvlText w:val="-"/>
      <w:lvlJc w:val="left"/>
      <w:pPr>
        <w:ind w:left="1133" w:hanging="360"/>
      </w:pPr>
      <w:rPr>
        <w:rFonts w:ascii="Calibri" w:eastAsiaTheme="minorHAnsi" w:hAnsi="Calibri" w:cs="Calibri"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4" w15:restartNumberingAfterBreak="0">
    <w:nsid w:val="3F4F83BA"/>
    <w:multiLevelType w:val="hybridMultilevel"/>
    <w:tmpl w:val="E0548A6C"/>
    <w:lvl w:ilvl="0" w:tplc="D5F4967A">
      <w:start w:val="1"/>
      <w:numFmt w:val="bullet"/>
      <w:lvlText w:val=""/>
      <w:lvlJc w:val="left"/>
      <w:pPr>
        <w:ind w:left="720" w:hanging="360"/>
      </w:pPr>
      <w:rPr>
        <w:rFonts w:ascii="Symbol" w:hAnsi="Symbol" w:hint="default"/>
      </w:rPr>
    </w:lvl>
    <w:lvl w:ilvl="1" w:tplc="57049FA8">
      <w:start w:val="1"/>
      <w:numFmt w:val="bullet"/>
      <w:lvlText w:val="o"/>
      <w:lvlJc w:val="left"/>
      <w:pPr>
        <w:ind w:left="1440" w:hanging="360"/>
      </w:pPr>
      <w:rPr>
        <w:rFonts w:ascii="Courier New" w:hAnsi="Courier New" w:hint="default"/>
      </w:rPr>
    </w:lvl>
    <w:lvl w:ilvl="2" w:tplc="88104C62">
      <w:start w:val="1"/>
      <w:numFmt w:val="bullet"/>
      <w:lvlText w:val=""/>
      <w:lvlJc w:val="left"/>
      <w:pPr>
        <w:ind w:left="2160" w:hanging="360"/>
      </w:pPr>
      <w:rPr>
        <w:rFonts w:ascii="Wingdings" w:hAnsi="Wingdings" w:hint="default"/>
      </w:rPr>
    </w:lvl>
    <w:lvl w:ilvl="3" w:tplc="C54EF4D2">
      <w:start w:val="1"/>
      <w:numFmt w:val="bullet"/>
      <w:lvlText w:val=""/>
      <w:lvlJc w:val="left"/>
      <w:pPr>
        <w:ind w:left="2880" w:hanging="360"/>
      </w:pPr>
      <w:rPr>
        <w:rFonts w:ascii="Symbol" w:hAnsi="Symbol" w:hint="default"/>
      </w:rPr>
    </w:lvl>
    <w:lvl w:ilvl="4" w:tplc="D9008E58">
      <w:start w:val="1"/>
      <w:numFmt w:val="bullet"/>
      <w:lvlText w:val="o"/>
      <w:lvlJc w:val="left"/>
      <w:pPr>
        <w:ind w:left="3600" w:hanging="360"/>
      </w:pPr>
      <w:rPr>
        <w:rFonts w:ascii="Courier New" w:hAnsi="Courier New" w:hint="default"/>
      </w:rPr>
    </w:lvl>
    <w:lvl w:ilvl="5" w:tplc="7004E02C">
      <w:start w:val="1"/>
      <w:numFmt w:val="bullet"/>
      <w:lvlText w:val=""/>
      <w:lvlJc w:val="left"/>
      <w:pPr>
        <w:ind w:left="4320" w:hanging="360"/>
      </w:pPr>
      <w:rPr>
        <w:rFonts w:ascii="Wingdings" w:hAnsi="Wingdings" w:hint="default"/>
      </w:rPr>
    </w:lvl>
    <w:lvl w:ilvl="6" w:tplc="AFF28E16">
      <w:start w:val="1"/>
      <w:numFmt w:val="bullet"/>
      <w:lvlText w:val=""/>
      <w:lvlJc w:val="left"/>
      <w:pPr>
        <w:ind w:left="5040" w:hanging="360"/>
      </w:pPr>
      <w:rPr>
        <w:rFonts w:ascii="Symbol" w:hAnsi="Symbol" w:hint="default"/>
      </w:rPr>
    </w:lvl>
    <w:lvl w:ilvl="7" w:tplc="4EFA5FB6">
      <w:start w:val="1"/>
      <w:numFmt w:val="bullet"/>
      <w:lvlText w:val="o"/>
      <w:lvlJc w:val="left"/>
      <w:pPr>
        <w:ind w:left="5760" w:hanging="360"/>
      </w:pPr>
      <w:rPr>
        <w:rFonts w:ascii="Courier New" w:hAnsi="Courier New" w:hint="default"/>
      </w:rPr>
    </w:lvl>
    <w:lvl w:ilvl="8" w:tplc="4E7EB574">
      <w:start w:val="1"/>
      <w:numFmt w:val="bullet"/>
      <w:lvlText w:val=""/>
      <w:lvlJc w:val="left"/>
      <w:pPr>
        <w:ind w:left="6480" w:hanging="360"/>
      </w:pPr>
      <w:rPr>
        <w:rFonts w:ascii="Wingdings" w:hAnsi="Wingdings" w:hint="default"/>
      </w:rPr>
    </w:lvl>
  </w:abstractNum>
  <w:abstractNum w:abstractNumId="25" w15:restartNumberingAfterBreak="0">
    <w:nsid w:val="440402C1"/>
    <w:multiLevelType w:val="hybridMultilevel"/>
    <w:tmpl w:val="AA5C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72113"/>
    <w:multiLevelType w:val="hybridMultilevel"/>
    <w:tmpl w:val="61208F26"/>
    <w:lvl w:ilvl="0" w:tplc="856276F0">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F7F22"/>
    <w:multiLevelType w:val="hybridMultilevel"/>
    <w:tmpl w:val="10AE4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F07BE"/>
    <w:multiLevelType w:val="hybridMultilevel"/>
    <w:tmpl w:val="A540F7DE"/>
    <w:lvl w:ilvl="0" w:tplc="896EE73C">
      <w:start w:val="1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41A41"/>
    <w:multiLevelType w:val="multilevel"/>
    <w:tmpl w:val="C7C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A538D"/>
    <w:multiLevelType w:val="hybridMultilevel"/>
    <w:tmpl w:val="E87C5D2C"/>
    <w:lvl w:ilvl="0" w:tplc="EDFC72BA">
      <w:start w:val="2"/>
      <w:numFmt w:val="bullet"/>
      <w:lvlText w:val="-"/>
      <w:lvlJc w:val="left"/>
      <w:pPr>
        <w:ind w:left="720" w:hanging="360"/>
      </w:pPr>
      <w:rPr>
        <w:rFonts w:ascii="Verdana" w:eastAsiaTheme="minorHAnsi" w:hAnsi="Verdana"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93210F"/>
    <w:multiLevelType w:val="hybridMultilevel"/>
    <w:tmpl w:val="92BA6AD6"/>
    <w:lvl w:ilvl="0" w:tplc="8B96A30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D2359"/>
    <w:multiLevelType w:val="hybridMultilevel"/>
    <w:tmpl w:val="606476C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C2DF1"/>
    <w:multiLevelType w:val="hybridMultilevel"/>
    <w:tmpl w:val="420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F314C"/>
    <w:multiLevelType w:val="hybridMultilevel"/>
    <w:tmpl w:val="E7901D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4012C"/>
    <w:multiLevelType w:val="hybridMultilevel"/>
    <w:tmpl w:val="A3E4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07B9E"/>
    <w:multiLevelType w:val="hybridMultilevel"/>
    <w:tmpl w:val="CB784B0E"/>
    <w:lvl w:ilvl="0" w:tplc="FFFFFFFF">
      <w:start w:val="1"/>
      <w:numFmt w:val="upperLetter"/>
      <w:lvlText w:val="%1."/>
      <w:lvlJc w:val="left"/>
      <w:pPr>
        <w:ind w:left="1080" w:hanging="360"/>
      </w:pPr>
      <w:rPr>
        <w:rFonts w:asciiTheme="minorHAnsi" w:eastAsiaTheme="minorHAnsi" w:hAnsiTheme="minorHAnsi" w:cstheme="minorBidi"/>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A57A385"/>
    <w:multiLevelType w:val="hybridMultilevel"/>
    <w:tmpl w:val="656A2AAA"/>
    <w:lvl w:ilvl="0" w:tplc="34E6D9C2">
      <w:start w:val="1"/>
      <w:numFmt w:val="bullet"/>
      <w:lvlText w:val=""/>
      <w:lvlJc w:val="left"/>
      <w:pPr>
        <w:ind w:left="720" w:hanging="360"/>
      </w:pPr>
      <w:rPr>
        <w:rFonts w:ascii="Symbol" w:hAnsi="Symbol" w:hint="default"/>
      </w:rPr>
    </w:lvl>
    <w:lvl w:ilvl="1" w:tplc="7B8E72BA">
      <w:start w:val="1"/>
      <w:numFmt w:val="bullet"/>
      <w:lvlText w:val="o"/>
      <w:lvlJc w:val="left"/>
      <w:pPr>
        <w:ind w:left="1440" w:hanging="360"/>
      </w:pPr>
      <w:rPr>
        <w:rFonts w:ascii="Courier New" w:hAnsi="Courier New" w:hint="default"/>
      </w:rPr>
    </w:lvl>
    <w:lvl w:ilvl="2" w:tplc="BC44FBD0">
      <w:start w:val="1"/>
      <w:numFmt w:val="bullet"/>
      <w:lvlText w:val=""/>
      <w:lvlJc w:val="left"/>
      <w:pPr>
        <w:ind w:left="2160" w:hanging="360"/>
      </w:pPr>
      <w:rPr>
        <w:rFonts w:ascii="Wingdings" w:hAnsi="Wingdings" w:hint="default"/>
      </w:rPr>
    </w:lvl>
    <w:lvl w:ilvl="3" w:tplc="DF5A2276">
      <w:start w:val="1"/>
      <w:numFmt w:val="bullet"/>
      <w:lvlText w:val=""/>
      <w:lvlJc w:val="left"/>
      <w:pPr>
        <w:ind w:left="2880" w:hanging="360"/>
      </w:pPr>
      <w:rPr>
        <w:rFonts w:ascii="Symbol" w:hAnsi="Symbol" w:hint="default"/>
      </w:rPr>
    </w:lvl>
    <w:lvl w:ilvl="4" w:tplc="6A9659F4">
      <w:start w:val="1"/>
      <w:numFmt w:val="bullet"/>
      <w:lvlText w:val="o"/>
      <w:lvlJc w:val="left"/>
      <w:pPr>
        <w:ind w:left="3600" w:hanging="360"/>
      </w:pPr>
      <w:rPr>
        <w:rFonts w:ascii="Courier New" w:hAnsi="Courier New" w:hint="default"/>
      </w:rPr>
    </w:lvl>
    <w:lvl w:ilvl="5" w:tplc="54F0E222">
      <w:start w:val="1"/>
      <w:numFmt w:val="bullet"/>
      <w:lvlText w:val=""/>
      <w:lvlJc w:val="left"/>
      <w:pPr>
        <w:ind w:left="4320" w:hanging="360"/>
      </w:pPr>
      <w:rPr>
        <w:rFonts w:ascii="Wingdings" w:hAnsi="Wingdings" w:hint="default"/>
      </w:rPr>
    </w:lvl>
    <w:lvl w:ilvl="6" w:tplc="DBB2F5EA">
      <w:start w:val="1"/>
      <w:numFmt w:val="bullet"/>
      <w:lvlText w:val=""/>
      <w:lvlJc w:val="left"/>
      <w:pPr>
        <w:ind w:left="5040" w:hanging="360"/>
      </w:pPr>
      <w:rPr>
        <w:rFonts w:ascii="Symbol" w:hAnsi="Symbol" w:hint="default"/>
      </w:rPr>
    </w:lvl>
    <w:lvl w:ilvl="7" w:tplc="A6BAD892">
      <w:start w:val="1"/>
      <w:numFmt w:val="bullet"/>
      <w:lvlText w:val="o"/>
      <w:lvlJc w:val="left"/>
      <w:pPr>
        <w:ind w:left="5760" w:hanging="360"/>
      </w:pPr>
      <w:rPr>
        <w:rFonts w:ascii="Courier New" w:hAnsi="Courier New" w:hint="default"/>
      </w:rPr>
    </w:lvl>
    <w:lvl w:ilvl="8" w:tplc="EB82940C">
      <w:start w:val="1"/>
      <w:numFmt w:val="bullet"/>
      <w:lvlText w:val=""/>
      <w:lvlJc w:val="left"/>
      <w:pPr>
        <w:ind w:left="6480" w:hanging="360"/>
      </w:pPr>
      <w:rPr>
        <w:rFonts w:ascii="Wingdings" w:hAnsi="Wingdings" w:hint="default"/>
      </w:rPr>
    </w:lvl>
  </w:abstractNum>
  <w:abstractNum w:abstractNumId="38" w15:restartNumberingAfterBreak="0">
    <w:nsid w:val="6A9C20D0"/>
    <w:multiLevelType w:val="hybridMultilevel"/>
    <w:tmpl w:val="E5C2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941C0"/>
    <w:multiLevelType w:val="multilevel"/>
    <w:tmpl w:val="4BA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417FD"/>
    <w:multiLevelType w:val="hybridMultilevel"/>
    <w:tmpl w:val="5F06E3A0"/>
    <w:lvl w:ilvl="0" w:tplc="32ECF48C">
      <w:start w:val="1"/>
      <w:numFmt w:val="bullet"/>
      <w:lvlText w:val=""/>
      <w:lvlJc w:val="left"/>
      <w:pPr>
        <w:ind w:left="720" w:hanging="360"/>
      </w:pPr>
      <w:rPr>
        <w:rFonts w:ascii="Symbol" w:hAnsi="Symbol" w:hint="default"/>
      </w:rPr>
    </w:lvl>
    <w:lvl w:ilvl="1" w:tplc="5A0CD8CE">
      <w:start w:val="1"/>
      <w:numFmt w:val="bullet"/>
      <w:lvlText w:val="o"/>
      <w:lvlJc w:val="left"/>
      <w:pPr>
        <w:ind w:left="1440" w:hanging="360"/>
      </w:pPr>
      <w:rPr>
        <w:rFonts w:ascii="Courier New" w:hAnsi="Courier New" w:hint="default"/>
      </w:rPr>
    </w:lvl>
    <w:lvl w:ilvl="2" w:tplc="E08E3608">
      <w:start w:val="1"/>
      <w:numFmt w:val="bullet"/>
      <w:lvlText w:val=""/>
      <w:lvlJc w:val="left"/>
      <w:pPr>
        <w:ind w:left="2160" w:hanging="360"/>
      </w:pPr>
      <w:rPr>
        <w:rFonts w:ascii="Wingdings" w:hAnsi="Wingdings" w:hint="default"/>
      </w:rPr>
    </w:lvl>
    <w:lvl w:ilvl="3" w:tplc="3A9CC73E">
      <w:start w:val="1"/>
      <w:numFmt w:val="bullet"/>
      <w:lvlText w:val=""/>
      <w:lvlJc w:val="left"/>
      <w:pPr>
        <w:ind w:left="2880" w:hanging="360"/>
      </w:pPr>
      <w:rPr>
        <w:rFonts w:ascii="Symbol" w:hAnsi="Symbol" w:hint="default"/>
      </w:rPr>
    </w:lvl>
    <w:lvl w:ilvl="4" w:tplc="5036A0BA">
      <w:start w:val="1"/>
      <w:numFmt w:val="bullet"/>
      <w:lvlText w:val="o"/>
      <w:lvlJc w:val="left"/>
      <w:pPr>
        <w:ind w:left="3600" w:hanging="360"/>
      </w:pPr>
      <w:rPr>
        <w:rFonts w:ascii="Courier New" w:hAnsi="Courier New" w:hint="default"/>
      </w:rPr>
    </w:lvl>
    <w:lvl w:ilvl="5" w:tplc="8188E166">
      <w:start w:val="1"/>
      <w:numFmt w:val="bullet"/>
      <w:lvlText w:val=""/>
      <w:lvlJc w:val="left"/>
      <w:pPr>
        <w:ind w:left="4320" w:hanging="360"/>
      </w:pPr>
      <w:rPr>
        <w:rFonts w:ascii="Wingdings" w:hAnsi="Wingdings" w:hint="default"/>
      </w:rPr>
    </w:lvl>
    <w:lvl w:ilvl="6" w:tplc="9BF44862">
      <w:start w:val="1"/>
      <w:numFmt w:val="bullet"/>
      <w:lvlText w:val=""/>
      <w:lvlJc w:val="left"/>
      <w:pPr>
        <w:ind w:left="5040" w:hanging="360"/>
      </w:pPr>
      <w:rPr>
        <w:rFonts w:ascii="Symbol" w:hAnsi="Symbol" w:hint="default"/>
      </w:rPr>
    </w:lvl>
    <w:lvl w:ilvl="7" w:tplc="3962BF6A">
      <w:start w:val="1"/>
      <w:numFmt w:val="bullet"/>
      <w:lvlText w:val="o"/>
      <w:lvlJc w:val="left"/>
      <w:pPr>
        <w:ind w:left="5760" w:hanging="360"/>
      </w:pPr>
      <w:rPr>
        <w:rFonts w:ascii="Courier New" w:hAnsi="Courier New" w:hint="default"/>
      </w:rPr>
    </w:lvl>
    <w:lvl w:ilvl="8" w:tplc="D1B00754">
      <w:start w:val="1"/>
      <w:numFmt w:val="bullet"/>
      <w:lvlText w:val=""/>
      <w:lvlJc w:val="left"/>
      <w:pPr>
        <w:ind w:left="6480" w:hanging="360"/>
      </w:pPr>
      <w:rPr>
        <w:rFonts w:ascii="Wingdings" w:hAnsi="Wingdings" w:hint="default"/>
      </w:rPr>
    </w:lvl>
  </w:abstractNum>
  <w:abstractNum w:abstractNumId="41" w15:restartNumberingAfterBreak="0">
    <w:nsid w:val="7407759E"/>
    <w:multiLevelType w:val="hybridMultilevel"/>
    <w:tmpl w:val="3962BBAC"/>
    <w:lvl w:ilvl="0" w:tplc="770A4CD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57AE8"/>
    <w:multiLevelType w:val="hybridMultilevel"/>
    <w:tmpl w:val="CDC470D6"/>
    <w:lvl w:ilvl="0" w:tplc="2D6CFA24">
      <w:start w:val="1"/>
      <w:numFmt w:val="bullet"/>
      <w:lvlText w:val=""/>
      <w:lvlJc w:val="left"/>
      <w:pPr>
        <w:ind w:left="720" w:hanging="360"/>
      </w:pPr>
      <w:rPr>
        <w:rFonts w:ascii="Symbol" w:hAnsi="Symbol" w:hint="default"/>
      </w:rPr>
    </w:lvl>
    <w:lvl w:ilvl="1" w:tplc="C4C0A4BE">
      <w:start w:val="1"/>
      <w:numFmt w:val="bullet"/>
      <w:lvlText w:val="o"/>
      <w:lvlJc w:val="left"/>
      <w:pPr>
        <w:ind w:left="1440" w:hanging="360"/>
      </w:pPr>
      <w:rPr>
        <w:rFonts w:ascii="Courier New" w:hAnsi="Courier New" w:hint="default"/>
      </w:rPr>
    </w:lvl>
    <w:lvl w:ilvl="2" w:tplc="80A82728">
      <w:start w:val="1"/>
      <w:numFmt w:val="bullet"/>
      <w:lvlText w:val=""/>
      <w:lvlJc w:val="left"/>
      <w:pPr>
        <w:ind w:left="2160" w:hanging="360"/>
      </w:pPr>
      <w:rPr>
        <w:rFonts w:ascii="Wingdings" w:hAnsi="Wingdings" w:hint="default"/>
      </w:rPr>
    </w:lvl>
    <w:lvl w:ilvl="3" w:tplc="9A96DF9C">
      <w:start w:val="1"/>
      <w:numFmt w:val="bullet"/>
      <w:lvlText w:val=""/>
      <w:lvlJc w:val="left"/>
      <w:pPr>
        <w:ind w:left="2880" w:hanging="360"/>
      </w:pPr>
      <w:rPr>
        <w:rFonts w:ascii="Symbol" w:hAnsi="Symbol" w:hint="default"/>
      </w:rPr>
    </w:lvl>
    <w:lvl w:ilvl="4" w:tplc="FA02E876">
      <w:start w:val="1"/>
      <w:numFmt w:val="bullet"/>
      <w:lvlText w:val="o"/>
      <w:lvlJc w:val="left"/>
      <w:pPr>
        <w:ind w:left="3600" w:hanging="360"/>
      </w:pPr>
      <w:rPr>
        <w:rFonts w:ascii="Courier New" w:hAnsi="Courier New" w:hint="default"/>
      </w:rPr>
    </w:lvl>
    <w:lvl w:ilvl="5" w:tplc="A8345270">
      <w:start w:val="1"/>
      <w:numFmt w:val="bullet"/>
      <w:lvlText w:val=""/>
      <w:lvlJc w:val="left"/>
      <w:pPr>
        <w:ind w:left="4320" w:hanging="360"/>
      </w:pPr>
      <w:rPr>
        <w:rFonts w:ascii="Wingdings" w:hAnsi="Wingdings" w:hint="default"/>
      </w:rPr>
    </w:lvl>
    <w:lvl w:ilvl="6" w:tplc="0AD4B3C4">
      <w:start w:val="1"/>
      <w:numFmt w:val="bullet"/>
      <w:lvlText w:val=""/>
      <w:lvlJc w:val="left"/>
      <w:pPr>
        <w:ind w:left="5040" w:hanging="360"/>
      </w:pPr>
      <w:rPr>
        <w:rFonts w:ascii="Symbol" w:hAnsi="Symbol" w:hint="default"/>
      </w:rPr>
    </w:lvl>
    <w:lvl w:ilvl="7" w:tplc="F3C08E6E">
      <w:start w:val="1"/>
      <w:numFmt w:val="bullet"/>
      <w:lvlText w:val="o"/>
      <w:lvlJc w:val="left"/>
      <w:pPr>
        <w:ind w:left="5760" w:hanging="360"/>
      </w:pPr>
      <w:rPr>
        <w:rFonts w:ascii="Courier New" w:hAnsi="Courier New" w:hint="default"/>
      </w:rPr>
    </w:lvl>
    <w:lvl w:ilvl="8" w:tplc="B8FC481C">
      <w:start w:val="1"/>
      <w:numFmt w:val="bullet"/>
      <w:lvlText w:val=""/>
      <w:lvlJc w:val="left"/>
      <w:pPr>
        <w:ind w:left="6480" w:hanging="360"/>
      </w:pPr>
      <w:rPr>
        <w:rFonts w:ascii="Wingdings" w:hAnsi="Wingdings" w:hint="default"/>
      </w:rPr>
    </w:lvl>
  </w:abstractNum>
  <w:abstractNum w:abstractNumId="43" w15:restartNumberingAfterBreak="0">
    <w:nsid w:val="77095B22"/>
    <w:multiLevelType w:val="hybridMultilevel"/>
    <w:tmpl w:val="5CA8F068"/>
    <w:lvl w:ilvl="0" w:tplc="530C80C2">
      <w:start w:val="1"/>
      <w:numFmt w:val="bullet"/>
      <w:lvlText w:val="-"/>
      <w:lvlJc w:val="left"/>
      <w:pPr>
        <w:ind w:left="1080" w:hanging="360"/>
      </w:pPr>
      <w:rPr>
        <w:rFonts w:ascii="Calibri" w:eastAsiaTheme="minorHAnsi" w:hAnsi="Calibri" w:cs="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C86D59"/>
    <w:multiLevelType w:val="hybridMultilevel"/>
    <w:tmpl w:val="1542DAE4"/>
    <w:lvl w:ilvl="0" w:tplc="E94A5EB4">
      <w:start w:val="1"/>
      <w:numFmt w:val="bullet"/>
      <w:lvlText w:val=""/>
      <w:lvlJc w:val="left"/>
      <w:pPr>
        <w:ind w:left="720" w:hanging="360"/>
      </w:pPr>
      <w:rPr>
        <w:rFonts w:ascii="Symbol" w:hAnsi="Symbol" w:hint="default"/>
      </w:rPr>
    </w:lvl>
    <w:lvl w:ilvl="1" w:tplc="86947636">
      <w:start w:val="1"/>
      <w:numFmt w:val="bullet"/>
      <w:lvlText w:val="o"/>
      <w:lvlJc w:val="left"/>
      <w:pPr>
        <w:ind w:left="1440" w:hanging="360"/>
      </w:pPr>
      <w:rPr>
        <w:rFonts w:ascii="Courier New" w:hAnsi="Courier New" w:hint="default"/>
      </w:rPr>
    </w:lvl>
    <w:lvl w:ilvl="2" w:tplc="86026C1E">
      <w:start w:val="1"/>
      <w:numFmt w:val="bullet"/>
      <w:lvlText w:val=""/>
      <w:lvlJc w:val="left"/>
      <w:pPr>
        <w:ind w:left="2160" w:hanging="360"/>
      </w:pPr>
      <w:rPr>
        <w:rFonts w:ascii="Wingdings" w:hAnsi="Wingdings" w:hint="default"/>
      </w:rPr>
    </w:lvl>
    <w:lvl w:ilvl="3" w:tplc="39F86348">
      <w:start w:val="1"/>
      <w:numFmt w:val="bullet"/>
      <w:lvlText w:val=""/>
      <w:lvlJc w:val="left"/>
      <w:pPr>
        <w:ind w:left="2880" w:hanging="360"/>
      </w:pPr>
      <w:rPr>
        <w:rFonts w:ascii="Symbol" w:hAnsi="Symbol" w:hint="default"/>
      </w:rPr>
    </w:lvl>
    <w:lvl w:ilvl="4" w:tplc="3566D49E">
      <w:start w:val="1"/>
      <w:numFmt w:val="bullet"/>
      <w:lvlText w:val="o"/>
      <w:lvlJc w:val="left"/>
      <w:pPr>
        <w:ind w:left="3600" w:hanging="360"/>
      </w:pPr>
      <w:rPr>
        <w:rFonts w:ascii="Courier New" w:hAnsi="Courier New" w:hint="default"/>
      </w:rPr>
    </w:lvl>
    <w:lvl w:ilvl="5" w:tplc="3ACCFF34">
      <w:start w:val="1"/>
      <w:numFmt w:val="bullet"/>
      <w:lvlText w:val=""/>
      <w:lvlJc w:val="left"/>
      <w:pPr>
        <w:ind w:left="4320" w:hanging="360"/>
      </w:pPr>
      <w:rPr>
        <w:rFonts w:ascii="Wingdings" w:hAnsi="Wingdings" w:hint="default"/>
      </w:rPr>
    </w:lvl>
    <w:lvl w:ilvl="6" w:tplc="14A8C32C">
      <w:start w:val="1"/>
      <w:numFmt w:val="bullet"/>
      <w:lvlText w:val=""/>
      <w:lvlJc w:val="left"/>
      <w:pPr>
        <w:ind w:left="5040" w:hanging="360"/>
      </w:pPr>
      <w:rPr>
        <w:rFonts w:ascii="Symbol" w:hAnsi="Symbol" w:hint="default"/>
      </w:rPr>
    </w:lvl>
    <w:lvl w:ilvl="7" w:tplc="10CA529A">
      <w:start w:val="1"/>
      <w:numFmt w:val="bullet"/>
      <w:lvlText w:val="o"/>
      <w:lvlJc w:val="left"/>
      <w:pPr>
        <w:ind w:left="5760" w:hanging="360"/>
      </w:pPr>
      <w:rPr>
        <w:rFonts w:ascii="Courier New" w:hAnsi="Courier New" w:hint="default"/>
      </w:rPr>
    </w:lvl>
    <w:lvl w:ilvl="8" w:tplc="613EF6BC">
      <w:start w:val="1"/>
      <w:numFmt w:val="bullet"/>
      <w:lvlText w:val=""/>
      <w:lvlJc w:val="left"/>
      <w:pPr>
        <w:ind w:left="6480" w:hanging="360"/>
      </w:pPr>
      <w:rPr>
        <w:rFonts w:ascii="Wingdings" w:hAnsi="Wingdings" w:hint="default"/>
      </w:rPr>
    </w:lvl>
  </w:abstractNum>
  <w:abstractNum w:abstractNumId="45" w15:restartNumberingAfterBreak="0">
    <w:nsid w:val="7FFB11FE"/>
    <w:multiLevelType w:val="hybridMultilevel"/>
    <w:tmpl w:val="ED046178"/>
    <w:lvl w:ilvl="0" w:tplc="A9209BF4">
      <w:start w:val="1"/>
      <w:numFmt w:val="bullet"/>
      <w:lvlText w:val=""/>
      <w:lvlJc w:val="left"/>
      <w:pPr>
        <w:ind w:left="720" w:hanging="360"/>
      </w:pPr>
      <w:rPr>
        <w:rFonts w:ascii="Symbol" w:hAnsi="Symbol" w:hint="default"/>
      </w:rPr>
    </w:lvl>
    <w:lvl w:ilvl="1" w:tplc="84B4861E">
      <w:start w:val="1"/>
      <w:numFmt w:val="bullet"/>
      <w:lvlText w:val="o"/>
      <w:lvlJc w:val="left"/>
      <w:pPr>
        <w:ind w:left="1440" w:hanging="360"/>
      </w:pPr>
      <w:rPr>
        <w:rFonts w:ascii="Courier New" w:hAnsi="Courier New" w:hint="default"/>
      </w:rPr>
    </w:lvl>
    <w:lvl w:ilvl="2" w:tplc="8FB45D5C">
      <w:start w:val="1"/>
      <w:numFmt w:val="bullet"/>
      <w:lvlText w:val=""/>
      <w:lvlJc w:val="left"/>
      <w:pPr>
        <w:ind w:left="2160" w:hanging="360"/>
      </w:pPr>
      <w:rPr>
        <w:rFonts w:ascii="Wingdings" w:hAnsi="Wingdings" w:hint="default"/>
      </w:rPr>
    </w:lvl>
    <w:lvl w:ilvl="3" w:tplc="E6B2DECC">
      <w:start w:val="1"/>
      <w:numFmt w:val="bullet"/>
      <w:lvlText w:val=""/>
      <w:lvlJc w:val="left"/>
      <w:pPr>
        <w:ind w:left="2880" w:hanging="360"/>
      </w:pPr>
      <w:rPr>
        <w:rFonts w:ascii="Symbol" w:hAnsi="Symbol" w:hint="default"/>
      </w:rPr>
    </w:lvl>
    <w:lvl w:ilvl="4" w:tplc="D54AFAC4">
      <w:start w:val="1"/>
      <w:numFmt w:val="bullet"/>
      <w:lvlText w:val="o"/>
      <w:lvlJc w:val="left"/>
      <w:pPr>
        <w:ind w:left="3600" w:hanging="360"/>
      </w:pPr>
      <w:rPr>
        <w:rFonts w:ascii="Courier New" w:hAnsi="Courier New" w:hint="default"/>
      </w:rPr>
    </w:lvl>
    <w:lvl w:ilvl="5" w:tplc="F580DEF8">
      <w:start w:val="1"/>
      <w:numFmt w:val="bullet"/>
      <w:lvlText w:val=""/>
      <w:lvlJc w:val="left"/>
      <w:pPr>
        <w:ind w:left="4320" w:hanging="360"/>
      </w:pPr>
      <w:rPr>
        <w:rFonts w:ascii="Wingdings" w:hAnsi="Wingdings" w:hint="default"/>
      </w:rPr>
    </w:lvl>
    <w:lvl w:ilvl="6" w:tplc="4C8868B8">
      <w:start w:val="1"/>
      <w:numFmt w:val="bullet"/>
      <w:lvlText w:val=""/>
      <w:lvlJc w:val="left"/>
      <w:pPr>
        <w:ind w:left="5040" w:hanging="360"/>
      </w:pPr>
      <w:rPr>
        <w:rFonts w:ascii="Symbol" w:hAnsi="Symbol" w:hint="default"/>
      </w:rPr>
    </w:lvl>
    <w:lvl w:ilvl="7" w:tplc="CCCC583A">
      <w:start w:val="1"/>
      <w:numFmt w:val="bullet"/>
      <w:lvlText w:val="o"/>
      <w:lvlJc w:val="left"/>
      <w:pPr>
        <w:ind w:left="5760" w:hanging="360"/>
      </w:pPr>
      <w:rPr>
        <w:rFonts w:ascii="Courier New" w:hAnsi="Courier New" w:hint="default"/>
      </w:rPr>
    </w:lvl>
    <w:lvl w:ilvl="8" w:tplc="1AD85284">
      <w:start w:val="1"/>
      <w:numFmt w:val="bullet"/>
      <w:lvlText w:val=""/>
      <w:lvlJc w:val="left"/>
      <w:pPr>
        <w:ind w:left="6480" w:hanging="360"/>
      </w:pPr>
      <w:rPr>
        <w:rFonts w:ascii="Wingdings" w:hAnsi="Wingdings" w:hint="default"/>
      </w:rPr>
    </w:lvl>
  </w:abstractNum>
  <w:num w:numId="1" w16cid:durableId="1623808045">
    <w:abstractNumId w:val="42"/>
  </w:num>
  <w:num w:numId="2" w16cid:durableId="2091998640">
    <w:abstractNumId w:val="8"/>
  </w:num>
  <w:num w:numId="3" w16cid:durableId="819467449">
    <w:abstractNumId w:val="13"/>
  </w:num>
  <w:num w:numId="4" w16cid:durableId="1516381773">
    <w:abstractNumId w:val="24"/>
  </w:num>
  <w:num w:numId="5" w16cid:durableId="1178691902">
    <w:abstractNumId w:val="5"/>
  </w:num>
  <w:num w:numId="6" w16cid:durableId="330253826">
    <w:abstractNumId w:val="45"/>
  </w:num>
  <w:num w:numId="7" w16cid:durableId="319700581">
    <w:abstractNumId w:val="17"/>
  </w:num>
  <w:num w:numId="8" w16cid:durableId="2082484106">
    <w:abstractNumId w:val="37"/>
  </w:num>
  <w:num w:numId="9" w16cid:durableId="1241252143">
    <w:abstractNumId w:val="22"/>
  </w:num>
  <w:num w:numId="10" w16cid:durableId="1294100535">
    <w:abstractNumId w:val="6"/>
  </w:num>
  <w:num w:numId="11" w16cid:durableId="1105156417">
    <w:abstractNumId w:val="40"/>
  </w:num>
  <w:num w:numId="12" w16cid:durableId="1071852536">
    <w:abstractNumId w:val="16"/>
  </w:num>
  <w:num w:numId="13" w16cid:durableId="1948078430">
    <w:abstractNumId w:val="44"/>
  </w:num>
  <w:num w:numId="14" w16cid:durableId="913927874">
    <w:abstractNumId w:val="9"/>
  </w:num>
  <w:num w:numId="15" w16cid:durableId="2101372679">
    <w:abstractNumId w:val="27"/>
  </w:num>
  <w:num w:numId="16" w16cid:durableId="1736126107">
    <w:abstractNumId w:val="18"/>
  </w:num>
  <w:num w:numId="17" w16cid:durableId="1279333397">
    <w:abstractNumId w:val="12"/>
  </w:num>
  <w:num w:numId="18" w16cid:durableId="1498350715">
    <w:abstractNumId w:val="43"/>
  </w:num>
  <w:num w:numId="19" w16cid:durableId="1313562926">
    <w:abstractNumId w:val="38"/>
  </w:num>
  <w:num w:numId="20" w16cid:durableId="187912178">
    <w:abstractNumId w:val="19"/>
  </w:num>
  <w:num w:numId="21" w16cid:durableId="1280724756">
    <w:abstractNumId w:val="32"/>
  </w:num>
  <w:num w:numId="22" w16cid:durableId="1862275932">
    <w:abstractNumId w:val="4"/>
  </w:num>
  <w:num w:numId="23" w16cid:durableId="1621187578">
    <w:abstractNumId w:val="7"/>
  </w:num>
  <w:num w:numId="24" w16cid:durableId="1338508392">
    <w:abstractNumId w:val="20"/>
  </w:num>
  <w:num w:numId="25" w16cid:durableId="1009916067">
    <w:abstractNumId w:val="23"/>
  </w:num>
  <w:num w:numId="26" w16cid:durableId="50034735">
    <w:abstractNumId w:val="21"/>
  </w:num>
  <w:num w:numId="27" w16cid:durableId="509762430">
    <w:abstractNumId w:val="11"/>
  </w:num>
  <w:num w:numId="28" w16cid:durableId="995761384">
    <w:abstractNumId w:val="31"/>
  </w:num>
  <w:num w:numId="29" w16cid:durableId="245842983">
    <w:abstractNumId w:val="26"/>
  </w:num>
  <w:num w:numId="30" w16cid:durableId="375469079">
    <w:abstractNumId w:val="33"/>
  </w:num>
  <w:num w:numId="31" w16cid:durableId="645356255">
    <w:abstractNumId w:val="15"/>
  </w:num>
  <w:num w:numId="32" w16cid:durableId="335889493">
    <w:abstractNumId w:val="41"/>
  </w:num>
  <w:num w:numId="33" w16cid:durableId="912395450">
    <w:abstractNumId w:val="34"/>
  </w:num>
  <w:num w:numId="34" w16cid:durableId="10648396">
    <w:abstractNumId w:val="10"/>
  </w:num>
  <w:num w:numId="35" w16cid:durableId="1434548033">
    <w:abstractNumId w:val="39"/>
  </w:num>
  <w:num w:numId="36" w16cid:durableId="1476024525">
    <w:abstractNumId w:val="14"/>
  </w:num>
  <w:num w:numId="37" w16cid:durableId="2106999870">
    <w:abstractNumId w:val="29"/>
  </w:num>
  <w:num w:numId="38" w16cid:durableId="568879575">
    <w:abstractNumId w:val="36"/>
  </w:num>
  <w:num w:numId="39" w16cid:durableId="1104620084">
    <w:abstractNumId w:val="25"/>
  </w:num>
  <w:num w:numId="40" w16cid:durableId="518663627">
    <w:abstractNumId w:val="30"/>
  </w:num>
  <w:num w:numId="41" w16cid:durableId="121967239">
    <w:abstractNumId w:val="0"/>
  </w:num>
  <w:num w:numId="42" w16cid:durableId="1709337161">
    <w:abstractNumId w:val="1"/>
  </w:num>
  <w:num w:numId="43" w16cid:durableId="824471181">
    <w:abstractNumId w:val="2"/>
  </w:num>
  <w:num w:numId="44" w16cid:durableId="1532495385">
    <w:abstractNumId w:val="3"/>
  </w:num>
  <w:num w:numId="45" w16cid:durableId="1900707649">
    <w:abstractNumId w:val="28"/>
  </w:num>
  <w:num w:numId="46" w16cid:durableId="50936719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32"/>
    <w:rsid w:val="00001A55"/>
    <w:rsid w:val="000027F3"/>
    <w:rsid w:val="0000437D"/>
    <w:rsid w:val="00006A6D"/>
    <w:rsid w:val="00006DE4"/>
    <w:rsid w:val="00014CAA"/>
    <w:rsid w:val="00015768"/>
    <w:rsid w:val="000160BC"/>
    <w:rsid w:val="00017FCC"/>
    <w:rsid w:val="00021ED0"/>
    <w:rsid w:val="00023CA0"/>
    <w:rsid w:val="00025182"/>
    <w:rsid w:val="00025F91"/>
    <w:rsid w:val="00026B85"/>
    <w:rsid w:val="00030DB6"/>
    <w:rsid w:val="000320AE"/>
    <w:rsid w:val="00032E21"/>
    <w:rsid w:val="00036436"/>
    <w:rsid w:val="00036F59"/>
    <w:rsid w:val="00041EA5"/>
    <w:rsid w:val="0004347A"/>
    <w:rsid w:val="000468DD"/>
    <w:rsid w:val="000468E4"/>
    <w:rsid w:val="0004709B"/>
    <w:rsid w:val="00052F41"/>
    <w:rsid w:val="0005457E"/>
    <w:rsid w:val="00055F05"/>
    <w:rsid w:val="000602F3"/>
    <w:rsid w:val="00061DE5"/>
    <w:rsid w:val="0006224E"/>
    <w:rsid w:val="00065701"/>
    <w:rsid w:val="00065EF3"/>
    <w:rsid w:val="00066827"/>
    <w:rsid w:val="000713F0"/>
    <w:rsid w:val="0007169B"/>
    <w:rsid w:val="000730D4"/>
    <w:rsid w:val="00075B4E"/>
    <w:rsid w:val="0008098C"/>
    <w:rsid w:val="00080A24"/>
    <w:rsid w:val="00081BD8"/>
    <w:rsid w:val="00082F5D"/>
    <w:rsid w:val="0008532C"/>
    <w:rsid w:val="0008615F"/>
    <w:rsid w:val="00086D47"/>
    <w:rsid w:val="0009041F"/>
    <w:rsid w:val="00092B26"/>
    <w:rsid w:val="00093279"/>
    <w:rsid w:val="00093D8E"/>
    <w:rsid w:val="00096002"/>
    <w:rsid w:val="000A454B"/>
    <w:rsid w:val="000A4A3F"/>
    <w:rsid w:val="000B20EC"/>
    <w:rsid w:val="000B272B"/>
    <w:rsid w:val="000B2DD9"/>
    <w:rsid w:val="000B773E"/>
    <w:rsid w:val="000C076F"/>
    <w:rsid w:val="000C0BF4"/>
    <w:rsid w:val="000C5CDD"/>
    <w:rsid w:val="000D00E9"/>
    <w:rsid w:val="000D0A27"/>
    <w:rsid w:val="000D4091"/>
    <w:rsid w:val="000D6C87"/>
    <w:rsid w:val="000D729B"/>
    <w:rsid w:val="000E002B"/>
    <w:rsid w:val="000E0A20"/>
    <w:rsid w:val="000E0EDE"/>
    <w:rsid w:val="000E2160"/>
    <w:rsid w:val="000E2A2F"/>
    <w:rsid w:val="000E43D9"/>
    <w:rsid w:val="000E5370"/>
    <w:rsid w:val="000E615A"/>
    <w:rsid w:val="000E6451"/>
    <w:rsid w:val="000E7596"/>
    <w:rsid w:val="000E7E48"/>
    <w:rsid w:val="000F2B8D"/>
    <w:rsid w:val="000F2EB3"/>
    <w:rsid w:val="000F4CC1"/>
    <w:rsid w:val="000F54DB"/>
    <w:rsid w:val="0010043D"/>
    <w:rsid w:val="0010116B"/>
    <w:rsid w:val="00101354"/>
    <w:rsid w:val="001013DB"/>
    <w:rsid w:val="00103DEB"/>
    <w:rsid w:val="0010519C"/>
    <w:rsid w:val="001079C1"/>
    <w:rsid w:val="00107C2D"/>
    <w:rsid w:val="001123B6"/>
    <w:rsid w:val="001125F8"/>
    <w:rsid w:val="00112B6C"/>
    <w:rsid w:val="001131DC"/>
    <w:rsid w:val="0011342B"/>
    <w:rsid w:val="00113AEB"/>
    <w:rsid w:val="00114B21"/>
    <w:rsid w:val="00117E6D"/>
    <w:rsid w:val="001209AF"/>
    <w:rsid w:val="00122C27"/>
    <w:rsid w:val="00124224"/>
    <w:rsid w:val="00125692"/>
    <w:rsid w:val="0013018A"/>
    <w:rsid w:val="00130577"/>
    <w:rsid w:val="001318E8"/>
    <w:rsid w:val="00132CF2"/>
    <w:rsid w:val="00136606"/>
    <w:rsid w:val="00136902"/>
    <w:rsid w:val="00136909"/>
    <w:rsid w:val="0014066F"/>
    <w:rsid w:val="0014315E"/>
    <w:rsid w:val="00146577"/>
    <w:rsid w:val="00146F39"/>
    <w:rsid w:val="0014785E"/>
    <w:rsid w:val="00151F27"/>
    <w:rsid w:val="00157336"/>
    <w:rsid w:val="001603EF"/>
    <w:rsid w:val="00161A67"/>
    <w:rsid w:val="00161E39"/>
    <w:rsid w:val="0016206C"/>
    <w:rsid w:val="00163729"/>
    <w:rsid w:val="001701CE"/>
    <w:rsid w:val="0017029F"/>
    <w:rsid w:val="00171A78"/>
    <w:rsid w:val="0017367F"/>
    <w:rsid w:val="00176E5E"/>
    <w:rsid w:val="00177D8F"/>
    <w:rsid w:val="00180025"/>
    <w:rsid w:val="001836EE"/>
    <w:rsid w:val="00185E0B"/>
    <w:rsid w:val="00186B75"/>
    <w:rsid w:val="00187AF6"/>
    <w:rsid w:val="00190CC2"/>
    <w:rsid w:val="0019187B"/>
    <w:rsid w:val="00191C01"/>
    <w:rsid w:val="00192242"/>
    <w:rsid w:val="001927CF"/>
    <w:rsid w:val="001937F0"/>
    <w:rsid w:val="001A0C43"/>
    <w:rsid w:val="001A0D3C"/>
    <w:rsid w:val="001A3C0B"/>
    <w:rsid w:val="001A5E81"/>
    <w:rsid w:val="001A7766"/>
    <w:rsid w:val="001B3D1E"/>
    <w:rsid w:val="001C0819"/>
    <w:rsid w:val="001C1639"/>
    <w:rsid w:val="001C208F"/>
    <w:rsid w:val="001C25DB"/>
    <w:rsid w:val="001C2655"/>
    <w:rsid w:val="001C2F78"/>
    <w:rsid w:val="001C4ED6"/>
    <w:rsid w:val="001C72BE"/>
    <w:rsid w:val="001D02C8"/>
    <w:rsid w:val="001D1429"/>
    <w:rsid w:val="001D2167"/>
    <w:rsid w:val="001D33EF"/>
    <w:rsid w:val="001D4EA0"/>
    <w:rsid w:val="001D55D4"/>
    <w:rsid w:val="001D56CF"/>
    <w:rsid w:val="001D6804"/>
    <w:rsid w:val="001D7D16"/>
    <w:rsid w:val="001E0645"/>
    <w:rsid w:val="001E0808"/>
    <w:rsid w:val="001E432A"/>
    <w:rsid w:val="001E4B62"/>
    <w:rsid w:val="001E4BE8"/>
    <w:rsid w:val="001F0720"/>
    <w:rsid w:val="001F0C5D"/>
    <w:rsid w:val="001F14A2"/>
    <w:rsid w:val="001F1F5B"/>
    <w:rsid w:val="001F257B"/>
    <w:rsid w:val="001F35D3"/>
    <w:rsid w:val="001F7AE4"/>
    <w:rsid w:val="001F7C3B"/>
    <w:rsid w:val="00200AB1"/>
    <w:rsid w:val="00200B06"/>
    <w:rsid w:val="00202437"/>
    <w:rsid w:val="0020524D"/>
    <w:rsid w:val="00210B5C"/>
    <w:rsid w:val="00211245"/>
    <w:rsid w:val="002112FE"/>
    <w:rsid w:val="00212DAB"/>
    <w:rsid w:val="00213DF0"/>
    <w:rsid w:val="00213EF3"/>
    <w:rsid w:val="00215097"/>
    <w:rsid w:val="00216780"/>
    <w:rsid w:val="00217AB7"/>
    <w:rsid w:val="002215E4"/>
    <w:rsid w:val="002231EC"/>
    <w:rsid w:val="00224797"/>
    <w:rsid w:val="00225401"/>
    <w:rsid w:val="00225998"/>
    <w:rsid w:val="00225C17"/>
    <w:rsid w:val="00227688"/>
    <w:rsid w:val="00231617"/>
    <w:rsid w:val="002316C6"/>
    <w:rsid w:val="0023785E"/>
    <w:rsid w:val="00237E18"/>
    <w:rsid w:val="002408B3"/>
    <w:rsid w:val="0024110B"/>
    <w:rsid w:val="002418F9"/>
    <w:rsid w:val="0024279D"/>
    <w:rsid w:val="00242DBF"/>
    <w:rsid w:val="00244BB6"/>
    <w:rsid w:val="00247D9B"/>
    <w:rsid w:val="00247F2F"/>
    <w:rsid w:val="00250F8D"/>
    <w:rsid w:val="002518BA"/>
    <w:rsid w:val="00253CC2"/>
    <w:rsid w:val="00256A87"/>
    <w:rsid w:val="002617C9"/>
    <w:rsid w:val="0026210B"/>
    <w:rsid w:val="00265285"/>
    <w:rsid w:val="0026556A"/>
    <w:rsid w:val="00271DB2"/>
    <w:rsid w:val="0027445D"/>
    <w:rsid w:val="00274D03"/>
    <w:rsid w:val="00276B5F"/>
    <w:rsid w:val="00280617"/>
    <w:rsid w:val="002818C7"/>
    <w:rsid w:val="00282403"/>
    <w:rsid w:val="00282470"/>
    <w:rsid w:val="00282D0B"/>
    <w:rsid w:val="00282F4B"/>
    <w:rsid w:val="002851B8"/>
    <w:rsid w:val="002869D0"/>
    <w:rsid w:val="00286B80"/>
    <w:rsid w:val="00286F61"/>
    <w:rsid w:val="0029039A"/>
    <w:rsid w:val="002906D7"/>
    <w:rsid w:val="00291A7C"/>
    <w:rsid w:val="002933E3"/>
    <w:rsid w:val="0029460B"/>
    <w:rsid w:val="00295580"/>
    <w:rsid w:val="00296417"/>
    <w:rsid w:val="002A085D"/>
    <w:rsid w:val="002A0D15"/>
    <w:rsid w:val="002A3501"/>
    <w:rsid w:val="002A4670"/>
    <w:rsid w:val="002A612C"/>
    <w:rsid w:val="002A6AD5"/>
    <w:rsid w:val="002A73F8"/>
    <w:rsid w:val="002B16FE"/>
    <w:rsid w:val="002B27D8"/>
    <w:rsid w:val="002B470C"/>
    <w:rsid w:val="002C112C"/>
    <w:rsid w:val="002C4B30"/>
    <w:rsid w:val="002C528F"/>
    <w:rsid w:val="002D10EB"/>
    <w:rsid w:val="002D1274"/>
    <w:rsid w:val="002D434F"/>
    <w:rsid w:val="002D64C6"/>
    <w:rsid w:val="002D7903"/>
    <w:rsid w:val="002E033E"/>
    <w:rsid w:val="002E1D82"/>
    <w:rsid w:val="002E3270"/>
    <w:rsid w:val="002E3448"/>
    <w:rsid w:val="002E42C0"/>
    <w:rsid w:val="002E4AD0"/>
    <w:rsid w:val="002E5844"/>
    <w:rsid w:val="002E5862"/>
    <w:rsid w:val="002F1854"/>
    <w:rsid w:val="002F1E53"/>
    <w:rsid w:val="002F60B8"/>
    <w:rsid w:val="002F6C1B"/>
    <w:rsid w:val="003022E0"/>
    <w:rsid w:val="0030246B"/>
    <w:rsid w:val="003025E8"/>
    <w:rsid w:val="00302AE5"/>
    <w:rsid w:val="00303897"/>
    <w:rsid w:val="003038EB"/>
    <w:rsid w:val="00304E8E"/>
    <w:rsid w:val="003055ED"/>
    <w:rsid w:val="00310D72"/>
    <w:rsid w:val="00312848"/>
    <w:rsid w:val="00312A7F"/>
    <w:rsid w:val="00312C0E"/>
    <w:rsid w:val="00313786"/>
    <w:rsid w:val="0031386A"/>
    <w:rsid w:val="003149BC"/>
    <w:rsid w:val="00316965"/>
    <w:rsid w:val="003173E2"/>
    <w:rsid w:val="00320650"/>
    <w:rsid w:val="00320EA2"/>
    <w:rsid w:val="00321232"/>
    <w:rsid w:val="0032250D"/>
    <w:rsid w:val="003227A3"/>
    <w:rsid w:val="00324522"/>
    <w:rsid w:val="00326CE3"/>
    <w:rsid w:val="00327538"/>
    <w:rsid w:val="003300FF"/>
    <w:rsid w:val="00331E88"/>
    <w:rsid w:val="00336133"/>
    <w:rsid w:val="00337440"/>
    <w:rsid w:val="00337655"/>
    <w:rsid w:val="00340884"/>
    <w:rsid w:val="00341342"/>
    <w:rsid w:val="00341C78"/>
    <w:rsid w:val="00341EBF"/>
    <w:rsid w:val="00342BC7"/>
    <w:rsid w:val="003436D4"/>
    <w:rsid w:val="00346DF2"/>
    <w:rsid w:val="003472CB"/>
    <w:rsid w:val="003478E3"/>
    <w:rsid w:val="00347FD2"/>
    <w:rsid w:val="003503DC"/>
    <w:rsid w:val="00350415"/>
    <w:rsid w:val="00351203"/>
    <w:rsid w:val="003533E0"/>
    <w:rsid w:val="003539F8"/>
    <w:rsid w:val="00353E46"/>
    <w:rsid w:val="003550B6"/>
    <w:rsid w:val="00366177"/>
    <w:rsid w:val="00366ABC"/>
    <w:rsid w:val="00366AD5"/>
    <w:rsid w:val="00371A74"/>
    <w:rsid w:val="00372953"/>
    <w:rsid w:val="00373BE6"/>
    <w:rsid w:val="00374E2D"/>
    <w:rsid w:val="00382C8D"/>
    <w:rsid w:val="00382D9F"/>
    <w:rsid w:val="00384282"/>
    <w:rsid w:val="00387411"/>
    <w:rsid w:val="00387D1E"/>
    <w:rsid w:val="0039022F"/>
    <w:rsid w:val="003908E9"/>
    <w:rsid w:val="00391149"/>
    <w:rsid w:val="00391E52"/>
    <w:rsid w:val="00393D9B"/>
    <w:rsid w:val="003A222C"/>
    <w:rsid w:val="003A4DE9"/>
    <w:rsid w:val="003A4F75"/>
    <w:rsid w:val="003B2E4C"/>
    <w:rsid w:val="003B494D"/>
    <w:rsid w:val="003B4FD7"/>
    <w:rsid w:val="003B5470"/>
    <w:rsid w:val="003B6196"/>
    <w:rsid w:val="003B63D2"/>
    <w:rsid w:val="003B7CB1"/>
    <w:rsid w:val="003B7D6F"/>
    <w:rsid w:val="003C1295"/>
    <w:rsid w:val="003C1E32"/>
    <w:rsid w:val="003C4CC2"/>
    <w:rsid w:val="003C5C76"/>
    <w:rsid w:val="003C6755"/>
    <w:rsid w:val="003D03F4"/>
    <w:rsid w:val="003D26E5"/>
    <w:rsid w:val="003D312E"/>
    <w:rsid w:val="003D3985"/>
    <w:rsid w:val="003D47A5"/>
    <w:rsid w:val="003D6402"/>
    <w:rsid w:val="003E00E2"/>
    <w:rsid w:val="003E1437"/>
    <w:rsid w:val="003E3491"/>
    <w:rsid w:val="003E480A"/>
    <w:rsid w:val="003E5405"/>
    <w:rsid w:val="003E57AC"/>
    <w:rsid w:val="003E5AE5"/>
    <w:rsid w:val="003E7DA5"/>
    <w:rsid w:val="003F0907"/>
    <w:rsid w:val="003F2E7F"/>
    <w:rsid w:val="003F4359"/>
    <w:rsid w:val="003F6B41"/>
    <w:rsid w:val="003F6B51"/>
    <w:rsid w:val="0040103A"/>
    <w:rsid w:val="00401AD6"/>
    <w:rsid w:val="00402104"/>
    <w:rsid w:val="00402925"/>
    <w:rsid w:val="00402D58"/>
    <w:rsid w:val="00403EBE"/>
    <w:rsid w:val="00403FDB"/>
    <w:rsid w:val="00404B3D"/>
    <w:rsid w:val="00404B94"/>
    <w:rsid w:val="004107F0"/>
    <w:rsid w:val="0041088C"/>
    <w:rsid w:val="0041387F"/>
    <w:rsid w:val="00415B37"/>
    <w:rsid w:val="00416D82"/>
    <w:rsid w:val="004179C0"/>
    <w:rsid w:val="0042159B"/>
    <w:rsid w:val="0042222E"/>
    <w:rsid w:val="004232DC"/>
    <w:rsid w:val="00423EA5"/>
    <w:rsid w:val="00424810"/>
    <w:rsid w:val="00425339"/>
    <w:rsid w:val="0042662D"/>
    <w:rsid w:val="00426C67"/>
    <w:rsid w:val="004275E7"/>
    <w:rsid w:val="00431880"/>
    <w:rsid w:val="00431C9F"/>
    <w:rsid w:val="0043216D"/>
    <w:rsid w:val="004338F3"/>
    <w:rsid w:val="004361FB"/>
    <w:rsid w:val="004363B9"/>
    <w:rsid w:val="00437C07"/>
    <w:rsid w:val="00441860"/>
    <w:rsid w:val="004439CD"/>
    <w:rsid w:val="0044699C"/>
    <w:rsid w:val="0044709D"/>
    <w:rsid w:val="00450CE0"/>
    <w:rsid w:val="00450EA8"/>
    <w:rsid w:val="004513E2"/>
    <w:rsid w:val="00451D8F"/>
    <w:rsid w:val="00452E31"/>
    <w:rsid w:val="00453235"/>
    <w:rsid w:val="004535D0"/>
    <w:rsid w:val="00453610"/>
    <w:rsid w:val="00454F64"/>
    <w:rsid w:val="00456ADB"/>
    <w:rsid w:val="00457F57"/>
    <w:rsid w:val="00460729"/>
    <w:rsid w:val="00460826"/>
    <w:rsid w:val="00460868"/>
    <w:rsid w:val="00463931"/>
    <w:rsid w:val="00465DF2"/>
    <w:rsid w:val="00472B99"/>
    <w:rsid w:val="004756F2"/>
    <w:rsid w:val="0047716D"/>
    <w:rsid w:val="00477806"/>
    <w:rsid w:val="00477C3B"/>
    <w:rsid w:val="00477DE5"/>
    <w:rsid w:val="0048052A"/>
    <w:rsid w:val="00480BA6"/>
    <w:rsid w:val="00481A43"/>
    <w:rsid w:val="00483D5A"/>
    <w:rsid w:val="00486CE2"/>
    <w:rsid w:val="004871A8"/>
    <w:rsid w:val="00487376"/>
    <w:rsid w:val="0048771A"/>
    <w:rsid w:val="004918C2"/>
    <w:rsid w:val="004941F6"/>
    <w:rsid w:val="00495E92"/>
    <w:rsid w:val="00495FE1"/>
    <w:rsid w:val="00495FEF"/>
    <w:rsid w:val="0049629F"/>
    <w:rsid w:val="00496A29"/>
    <w:rsid w:val="004A03A6"/>
    <w:rsid w:val="004A0ADD"/>
    <w:rsid w:val="004A158C"/>
    <w:rsid w:val="004A1D5C"/>
    <w:rsid w:val="004A2523"/>
    <w:rsid w:val="004A4889"/>
    <w:rsid w:val="004A4971"/>
    <w:rsid w:val="004A511E"/>
    <w:rsid w:val="004A64B6"/>
    <w:rsid w:val="004A699B"/>
    <w:rsid w:val="004A79EE"/>
    <w:rsid w:val="004B0415"/>
    <w:rsid w:val="004B227C"/>
    <w:rsid w:val="004B3FF9"/>
    <w:rsid w:val="004B62D9"/>
    <w:rsid w:val="004C08FC"/>
    <w:rsid w:val="004C3684"/>
    <w:rsid w:val="004C3CEF"/>
    <w:rsid w:val="004C4252"/>
    <w:rsid w:val="004C6C3B"/>
    <w:rsid w:val="004D0607"/>
    <w:rsid w:val="004D1C79"/>
    <w:rsid w:val="004D34C6"/>
    <w:rsid w:val="004D6410"/>
    <w:rsid w:val="004D7294"/>
    <w:rsid w:val="004E057D"/>
    <w:rsid w:val="004E2DF4"/>
    <w:rsid w:val="004E3169"/>
    <w:rsid w:val="004E35F5"/>
    <w:rsid w:val="004E3ED1"/>
    <w:rsid w:val="004E5183"/>
    <w:rsid w:val="004E70FB"/>
    <w:rsid w:val="004F0AB1"/>
    <w:rsid w:val="004F2496"/>
    <w:rsid w:val="004F3AC9"/>
    <w:rsid w:val="004F3D2F"/>
    <w:rsid w:val="004F45F8"/>
    <w:rsid w:val="004F4E5B"/>
    <w:rsid w:val="004F514E"/>
    <w:rsid w:val="004F52FA"/>
    <w:rsid w:val="004F631E"/>
    <w:rsid w:val="004F7A0E"/>
    <w:rsid w:val="0050196D"/>
    <w:rsid w:val="00502769"/>
    <w:rsid w:val="00502AC8"/>
    <w:rsid w:val="00502CA7"/>
    <w:rsid w:val="00505BF7"/>
    <w:rsid w:val="00505CEC"/>
    <w:rsid w:val="0051006F"/>
    <w:rsid w:val="00510BDE"/>
    <w:rsid w:val="00512E0F"/>
    <w:rsid w:val="00513671"/>
    <w:rsid w:val="00513674"/>
    <w:rsid w:val="00516749"/>
    <w:rsid w:val="005178E5"/>
    <w:rsid w:val="00517C31"/>
    <w:rsid w:val="00520C41"/>
    <w:rsid w:val="00522D4D"/>
    <w:rsid w:val="00524F58"/>
    <w:rsid w:val="00527D78"/>
    <w:rsid w:val="00530F3C"/>
    <w:rsid w:val="00531492"/>
    <w:rsid w:val="00534369"/>
    <w:rsid w:val="00534BF5"/>
    <w:rsid w:val="00535CE3"/>
    <w:rsid w:val="00536227"/>
    <w:rsid w:val="00536CED"/>
    <w:rsid w:val="005453C8"/>
    <w:rsid w:val="005456F7"/>
    <w:rsid w:val="00545719"/>
    <w:rsid w:val="0054584F"/>
    <w:rsid w:val="00545992"/>
    <w:rsid w:val="00546CF9"/>
    <w:rsid w:val="00547153"/>
    <w:rsid w:val="0055025C"/>
    <w:rsid w:val="005524A9"/>
    <w:rsid w:val="00552B1E"/>
    <w:rsid w:val="0055381D"/>
    <w:rsid w:val="0055710A"/>
    <w:rsid w:val="00561DDE"/>
    <w:rsid w:val="005628DC"/>
    <w:rsid w:val="00562DCE"/>
    <w:rsid w:val="00562F37"/>
    <w:rsid w:val="00564DF3"/>
    <w:rsid w:val="0056654F"/>
    <w:rsid w:val="00566F7D"/>
    <w:rsid w:val="0057051E"/>
    <w:rsid w:val="0057053B"/>
    <w:rsid w:val="00575059"/>
    <w:rsid w:val="00576D2A"/>
    <w:rsid w:val="00577160"/>
    <w:rsid w:val="00581424"/>
    <w:rsid w:val="005817EC"/>
    <w:rsid w:val="005823CA"/>
    <w:rsid w:val="00582E12"/>
    <w:rsid w:val="005835CB"/>
    <w:rsid w:val="00584995"/>
    <w:rsid w:val="00585C2B"/>
    <w:rsid w:val="005866A0"/>
    <w:rsid w:val="0058777C"/>
    <w:rsid w:val="00590E85"/>
    <w:rsid w:val="0059147A"/>
    <w:rsid w:val="00593BB1"/>
    <w:rsid w:val="00594D47"/>
    <w:rsid w:val="005972D4"/>
    <w:rsid w:val="005977E8"/>
    <w:rsid w:val="005A0E08"/>
    <w:rsid w:val="005A12B5"/>
    <w:rsid w:val="005A3534"/>
    <w:rsid w:val="005A7DC3"/>
    <w:rsid w:val="005B228D"/>
    <w:rsid w:val="005B24B3"/>
    <w:rsid w:val="005B2EFB"/>
    <w:rsid w:val="005B481D"/>
    <w:rsid w:val="005B73CA"/>
    <w:rsid w:val="005C2BD5"/>
    <w:rsid w:val="005C3026"/>
    <w:rsid w:val="005C3739"/>
    <w:rsid w:val="005C5422"/>
    <w:rsid w:val="005C5DAB"/>
    <w:rsid w:val="005C68BD"/>
    <w:rsid w:val="005D01B4"/>
    <w:rsid w:val="005D17B8"/>
    <w:rsid w:val="005D1C91"/>
    <w:rsid w:val="005D2FA5"/>
    <w:rsid w:val="005D34EA"/>
    <w:rsid w:val="005D3842"/>
    <w:rsid w:val="005D5609"/>
    <w:rsid w:val="005D5D3F"/>
    <w:rsid w:val="005D743D"/>
    <w:rsid w:val="005D7A98"/>
    <w:rsid w:val="005E045D"/>
    <w:rsid w:val="005E0DEF"/>
    <w:rsid w:val="005E1B38"/>
    <w:rsid w:val="005E3D68"/>
    <w:rsid w:val="005E3E02"/>
    <w:rsid w:val="005E4F35"/>
    <w:rsid w:val="005E654D"/>
    <w:rsid w:val="005E67B6"/>
    <w:rsid w:val="005E79D7"/>
    <w:rsid w:val="005E7A74"/>
    <w:rsid w:val="005F1967"/>
    <w:rsid w:val="005F42C6"/>
    <w:rsid w:val="005F43B3"/>
    <w:rsid w:val="005F5C78"/>
    <w:rsid w:val="006039E6"/>
    <w:rsid w:val="00603ABA"/>
    <w:rsid w:val="00605DDE"/>
    <w:rsid w:val="00610C39"/>
    <w:rsid w:val="006113C8"/>
    <w:rsid w:val="0061158D"/>
    <w:rsid w:val="00611D11"/>
    <w:rsid w:val="006120DB"/>
    <w:rsid w:val="006138BA"/>
    <w:rsid w:val="00613FF8"/>
    <w:rsid w:val="00620A11"/>
    <w:rsid w:val="00620A50"/>
    <w:rsid w:val="00621442"/>
    <w:rsid w:val="00623CE8"/>
    <w:rsid w:val="00624D2B"/>
    <w:rsid w:val="00625BDE"/>
    <w:rsid w:val="00625E31"/>
    <w:rsid w:val="00631E2A"/>
    <w:rsid w:val="00632104"/>
    <w:rsid w:val="006329B3"/>
    <w:rsid w:val="00632BC9"/>
    <w:rsid w:val="006351E8"/>
    <w:rsid w:val="006374C6"/>
    <w:rsid w:val="00637AEA"/>
    <w:rsid w:val="006409B8"/>
    <w:rsid w:val="006416D7"/>
    <w:rsid w:val="0064500E"/>
    <w:rsid w:val="0064597A"/>
    <w:rsid w:val="00645C5C"/>
    <w:rsid w:val="006460AC"/>
    <w:rsid w:val="0064629D"/>
    <w:rsid w:val="00653863"/>
    <w:rsid w:val="0065429B"/>
    <w:rsid w:val="00654347"/>
    <w:rsid w:val="00654C87"/>
    <w:rsid w:val="00656418"/>
    <w:rsid w:val="006572C7"/>
    <w:rsid w:val="0065750F"/>
    <w:rsid w:val="006576C0"/>
    <w:rsid w:val="0066075F"/>
    <w:rsid w:val="00661F81"/>
    <w:rsid w:val="0066453E"/>
    <w:rsid w:val="00665000"/>
    <w:rsid w:val="006650FF"/>
    <w:rsid w:val="00665362"/>
    <w:rsid w:val="00665682"/>
    <w:rsid w:val="00665B9B"/>
    <w:rsid w:val="0066648E"/>
    <w:rsid w:val="00670AF3"/>
    <w:rsid w:val="00671088"/>
    <w:rsid w:val="00671A91"/>
    <w:rsid w:val="00673866"/>
    <w:rsid w:val="00674EBD"/>
    <w:rsid w:val="00676A6B"/>
    <w:rsid w:val="006835A2"/>
    <w:rsid w:val="00684838"/>
    <w:rsid w:val="00686022"/>
    <w:rsid w:val="00686BF4"/>
    <w:rsid w:val="0068701F"/>
    <w:rsid w:val="0069012E"/>
    <w:rsid w:val="006923CC"/>
    <w:rsid w:val="0069434A"/>
    <w:rsid w:val="00695AF5"/>
    <w:rsid w:val="00697E08"/>
    <w:rsid w:val="006A0C87"/>
    <w:rsid w:val="006A0E33"/>
    <w:rsid w:val="006A1A44"/>
    <w:rsid w:val="006A1CA8"/>
    <w:rsid w:val="006A31D8"/>
    <w:rsid w:val="006A3904"/>
    <w:rsid w:val="006A53C8"/>
    <w:rsid w:val="006A5D40"/>
    <w:rsid w:val="006A7686"/>
    <w:rsid w:val="006B13B2"/>
    <w:rsid w:val="006B2960"/>
    <w:rsid w:val="006B652A"/>
    <w:rsid w:val="006B68ED"/>
    <w:rsid w:val="006C0273"/>
    <w:rsid w:val="006C0583"/>
    <w:rsid w:val="006C4B5B"/>
    <w:rsid w:val="006C595B"/>
    <w:rsid w:val="006C6084"/>
    <w:rsid w:val="006C69C8"/>
    <w:rsid w:val="006C6DCC"/>
    <w:rsid w:val="006C7B3C"/>
    <w:rsid w:val="006D2370"/>
    <w:rsid w:val="006D27EE"/>
    <w:rsid w:val="006D2A9D"/>
    <w:rsid w:val="006D2DF9"/>
    <w:rsid w:val="006D3437"/>
    <w:rsid w:val="006D4691"/>
    <w:rsid w:val="006D4855"/>
    <w:rsid w:val="006D566D"/>
    <w:rsid w:val="006D6B5A"/>
    <w:rsid w:val="006E1C3C"/>
    <w:rsid w:val="006E2017"/>
    <w:rsid w:val="006E2E87"/>
    <w:rsid w:val="006E3600"/>
    <w:rsid w:val="006E4A52"/>
    <w:rsid w:val="006E5233"/>
    <w:rsid w:val="006E694E"/>
    <w:rsid w:val="006F199E"/>
    <w:rsid w:val="006F4A68"/>
    <w:rsid w:val="006F4BB7"/>
    <w:rsid w:val="006F540A"/>
    <w:rsid w:val="006F555C"/>
    <w:rsid w:val="006F5701"/>
    <w:rsid w:val="006F6212"/>
    <w:rsid w:val="006F6726"/>
    <w:rsid w:val="006F6807"/>
    <w:rsid w:val="006F7387"/>
    <w:rsid w:val="00700B31"/>
    <w:rsid w:val="00700CBA"/>
    <w:rsid w:val="00701B54"/>
    <w:rsid w:val="00702461"/>
    <w:rsid w:val="00702E81"/>
    <w:rsid w:val="0070321D"/>
    <w:rsid w:val="00704821"/>
    <w:rsid w:val="00704B24"/>
    <w:rsid w:val="00705529"/>
    <w:rsid w:val="00705FCB"/>
    <w:rsid w:val="00706012"/>
    <w:rsid w:val="00707554"/>
    <w:rsid w:val="00710597"/>
    <w:rsid w:val="00711398"/>
    <w:rsid w:val="007127D8"/>
    <w:rsid w:val="007131A2"/>
    <w:rsid w:val="00714747"/>
    <w:rsid w:val="00714E8A"/>
    <w:rsid w:val="00715CB4"/>
    <w:rsid w:val="0071625C"/>
    <w:rsid w:val="0071723E"/>
    <w:rsid w:val="00717A89"/>
    <w:rsid w:val="00720792"/>
    <w:rsid w:val="007234A6"/>
    <w:rsid w:val="00725967"/>
    <w:rsid w:val="007277B4"/>
    <w:rsid w:val="00727947"/>
    <w:rsid w:val="0073340F"/>
    <w:rsid w:val="00733D0C"/>
    <w:rsid w:val="007344BF"/>
    <w:rsid w:val="007443FA"/>
    <w:rsid w:val="00746107"/>
    <w:rsid w:val="00750227"/>
    <w:rsid w:val="0075113F"/>
    <w:rsid w:val="00751CC3"/>
    <w:rsid w:val="00752B27"/>
    <w:rsid w:val="00754A26"/>
    <w:rsid w:val="00757D91"/>
    <w:rsid w:val="0076218C"/>
    <w:rsid w:val="00763290"/>
    <w:rsid w:val="007638E2"/>
    <w:rsid w:val="00763F3E"/>
    <w:rsid w:val="00763F82"/>
    <w:rsid w:val="007640E5"/>
    <w:rsid w:val="00765890"/>
    <w:rsid w:val="0076669D"/>
    <w:rsid w:val="00767D48"/>
    <w:rsid w:val="00775686"/>
    <w:rsid w:val="00776F91"/>
    <w:rsid w:val="00777BA0"/>
    <w:rsid w:val="007804A1"/>
    <w:rsid w:val="00780782"/>
    <w:rsid w:val="00780C46"/>
    <w:rsid w:val="00783779"/>
    <w:rsid w:val="00783829"/>
    <w:rsid w:val="007849DA"/>
    <w:rsid w:val="00785824"/>
    <w:rsid w:val="00785EB5"/>
    <w:rsid w:val="0078641C"/>
    <w:rsid w:val="0078675A"/>
    <w:rsid w:val="007869D1"/>
    <w:rsid w:val="007870F3"/>
    <w:rsid w:val="00791F43"/>
    <w:rsid w:val="00792CD1"/>
    <w:rsid w:val="0079566C"/>
    <w:rsid w:val="00795796"/>
    <w:rsid w:val="007958CD"/>
    <w:rsid w:val="0079613F"/>
    <w:rsid w:val="00796324"/>
    <w:rsid w:val="00796330"/>
    <w:rsid w:val="00796C6C"/>
    <w:rsid w:val="007A2558"/>
    <w:rsid w:val="007A2B2B"/>
    <w:rsid w:val="007A2CE5"/>
    <w:rsid w:val="007A328E"/>
    <w:rsid w:val="007A419B"/>
    <w:rsid w:val="007A5258"/>
    <w:rsid w:val="007A5F87"/>
    <w:rsid w:val="007A7C20"/>
    <w:rsid w:val="007B1B0A"/>
    <w:rsid w:val="007B2EBC"/>
    <w:rsid w:val="007B3744"/>
    <w:rsid w:val="007B49B9"/>
    <w:rsid w:val="007B4BF7"/>
    <w:rsid w:val="007C07D1"/>
    <w:rsid w:val="007C15B0"/>
    <w:rsid w:val="007C1D08"/>
    <w:rsid w:val="007C21B7"/>
    <w:rsid w:val="007C2F13"/>
    <w:rsid w:val="007C4266"/>
    <w:rsid w:val="007C5309"/>
    <w:rsid w:val="007C7749"/>
    <w:rsid w:val="007D0EC0"/>
    <w:rsid w:val="007D1BA6"/>
    <w:rsid w:val="007D1D1A"/>
    <w:rsid w:val="007D3950"/>
    <w:rsid w:val="007D3A51"/>
    <w:rsid w:val="007D4C5B"/>
    <w:rsid w:val="007D5841"/>
    <w:rsid w:val="007D6DF3"/>
    <w:rsid w:val="007D7C76"/>
    <w:rsid w:val="007E126C"/>
    <w:rsid w:val="007E1856"/>
    <w:rsid w:val="007E6AAB"/>
    <w:rsid w:val="007E6F23"/>
    <w:rsid w:val="007F0302"/>
    <w:rsid w:val="007F1413"/>
    <w:rsid w:val="007F5534"/>
    <w:rsid w:val="007F6E60"/>
    <w:rsid w:val="007F6F1E"/>
    <w:rsid w:val="00801364"/>
    <w:rsid w:val="00801CB1"/>
    <w:rsid w:val="008038C6"/>
    <w:rsid w:val="00803943"/>
    <w:rsid w:val="00803AB0"/>
    <w:rsid w:val="00803BC7"/>
    <w:rsid w:val="00804CC2"/>
    <w:rsid w:val="0080641D"/>
    <w:rsid w:val="008078A3"/>
    <w:rsid w:val="00807F0C"/>
    <w:rsid w:val="00811763"/>
    <w:rsid w:val="00812521"/>
    <w:rsid w:val="00812F07"/>
    <w:rsid w:val="0081406B"/>
    <w:rsid w:val="00816B98"/>
    <w:rsid w:val="0081705F"/>
    <w:rsid w:val="0081769F"/>
    <w:rsid w:val="008218CC"/>
    <w:rsid w:val="00822C89"/>
    <w:rsid w:val="00822FA0"/>
    <w:rsid w:val="008232CC"/>
    <w:rsid w:val="00825D76"/>
    <w:rsid w:val="008266EB"/>
    <w:rsid w:val="00830E7D"/>
    <w:rsid w:val="008315A6"/>
    <w:rsid w:val="0083375A"/>
    <w:rsid w:val="00840538"/>
    <w:rsid w:val="008406EA"/>
    <w:rsid w:val="0084071C"/>
    <w:rsid w:val="00845991"/>
    <w:rsid w:val="0084610C"/>
    <w:rsid w:val="008535FE"/>
    <w:rsid w:val="008537CF"/>
    <w:rsid w:val="008540D5"/>
    <w:rsid w:val="00854EF7"/>
    <w:rsid w:val="00856B85"/>
    <w:rsid w:val="00856EF3"/>
    <w:rsid w:val="00857694"/>
    <w:rsid w:val="008578D8"/>
    <w:rsid w:val="00857AA5"/>
    <w:rsid w:val="00857FCC"/>
    <w:rsid w:val="00860E42"/>
    <w:rsid w:val="00861426"/>
    <w:rsid w:val="00861A1C"/>
    <w:rsid w:val="0086271C"/>
    <w:rsid w:val="00862C5C"/>
    <w:rsid w:val="008660FD"/>
    <w:rsid w:val="00867CC5"/>
    <w:rsid w:val="00867CFC"/>
    <w:rsid w:val="00870B30"/>
    <w:rsid w:val="00870E05"/>
    <w:rsid w:val="008735C0"/>
    <w:rsid w:val="00873BE5"/>
    <w:rsid w:val="00875EDF"/>
    <w:rsid w:val="008762EE"/>
    <w:rsid w:val="00877B47"/>
    <w:rsid w:val="008817F0"/>
    <w:rsid w:val="00881DC2"/>
    <w:rsid w:val="00882632"/>
    <w:rsid w:val="00882777"/>
    <w:rsid w:val="00883206"/>
    <w:rsid w:val="00883E9A"/>
    <w:rsid w:val="00895B9B"/>
    <w:rsid w:val="008979AE"/>
    <w:rsid w:val="00897AF4"/>
    <w:rsid w:val="008A085F"/>
    <w:rsid w:val="008A2539"/>
    <w:rsid w:val="008A3247"/>
    <w:rsid w:val="008A372C"/>
    <w:rsid w:val="008A71A2"/>
    <w:rsid w:val="008B1BD5"/>
    <w:rsid w:val="008B34DA"/>
    <w:rsid w:val="008B353A"/>
    <w:rsid w:val="008B4428"/>
    <w:rsid w:val="008B580B"/>
    <w:rsid w:val="008B68E6"/>
    <w:rsid w:val="008B70ED"/>
    <w:rsid w:val="008B762E"/>
    <w:rsid w:val="008B77AE"/>
    <w:rsid w:val="008B7F6D"/>
    <w:rsid w:val="008C14EB"/>
    <w:rsid w:val="008C21FC"/>
    <w:rsid w:val="008C3FFF"/>
    <w:rsid w:val="008C4612"/>
    <w:rsid w:val="008C6BC5"/>
    <w:rsid w:val="008D0122"/>
    <w:rsid w:val="008D041F"/>
    <w:rsid w:val="008D060C"/>
    <w:rsid w:val="008D0F01"/>
    <w:rsid w:val="008D119F"/>
    <w:rsid w:val="008D27F1"/>
    <w:rsid w:val="008D2C32"/>
    <w:rsid w:val="008D36CD"/>
    <w:rsid w:val="008D42FB"/>
    <w:rsid w:val="008D7220"/>
    <w:rsid w:val="008D72DD"/>
    <w:rsid w:val="008D74DB"/>
    <w:rsid w:val="008E1656"/>
    <w:rsid w:val="008E2D04"/>
    <w:rsid w:val="008E4FF1"/>
    <w:rsid w:val="008E5856"/>
    <w:rsid w:val="008F0B35"/>
    <w:rsid w:val="008F0B3B"/>
    <w:rsid w:val="008F0FE2"/>
    <w:rsid w:val="008F275A"/>
    <w:rsid w:val="008F3E0C"/>
    <w:rsid w:val="008F571B"/>
    <w:rsid w:val="008F6291"/>
    <w:rsid w:val="008F643A"/>
    <w:rsid w:val="00903B8F"/>
    <w:rsid w:val="009061B8"/>
    <w:rsid w:val="00906E1E"/>
    <w:rsid w:val="00911A69"/>
    <w:rsid w:val="00912604"/>
    <w:rsid w:val="00912DD3"/>
    <w:rsid w:val="009137FB"/>
    <w:rsid w:val="00915FE9"/>
    <w:rsid w:val="00916054"/>
    <w:rsid w:val="00916E6B"/>
    <w:rsid w:val="009172B6"/>
    <w:rsid w:val="00921B0C"/>
    <w:rsid w:val="00921C49"/>
    <w:rsid w:val="00921E94"/>
    <w:rsid w:val="009222DD"/>
    <w:rsid w:val="009223FE"/>
    <w:rsid w:val="009244A9"/>
    <w:rsid w:val="00925CCA"/>
    <w:rsid w:val="009261AB"/>
    <w:rsid w:val="00926210"/>
    <w:rsid w:val="00926549"/>
    <w:rsid w:val="00926A06"/>
    <w:rsid w:val="00927807"/>
    <w:rsid w:val="00927FBD"/>
    <w:rsid w:val="00930C9A"/>
    <w:rsid w:val="00932267"/>
    <w:rsid w:val="009328DD"/>
    <w:rsid w:val="00932C72"/>
    <w:rsid w:val="00933D44"/>
    <w:rsid w:val="00933EC4"/>
    <w:rsid w:val="00934FD6"/>
    <w:rsid w:val="009351B6"/>
    <w:rsid w:val="00936B83"/>
    <w:rsid w:val="0094068B"/>
    <w:rsid w:val="00940CAC"/>
    <w:rsid w:val="00943078"/>
    <w:rsid w:val="00943E7A"/>
    <w:rsid w:val="00944E37"/>
    <w:rsid w:val="00947971"/>
    <w:rsid w:val="00953346"/>
    <w:rsid w:val="009538EC"/>
    <w:rsid w:val="00953C8B"/>
    <w:rsid w:val="009544D2"/>
    <w:rsid w:val="00956FB4"/>
    <w:rsid w:val="0095775F"/>
    <w:rsid w:val="00962BFF"/>
    <w:rsid w:val="0096303F"/>
    <w:rsid w:val="0096431D"/>
    <w:rsid w:val="00965CEA"/>
    <w:rsid w:val="0096634D"/>
    <w:rsid w:val="0096677E"/>
    <w:rsid w:val="009668A0"/>
    <w:rsid w:val="00967DE3"/>
    <w:rsid w:val="00970E02"/>
    <w:rsid w:val="00973B41"/>
    <w:rsid w:val="00974947"/>
    <w:rsid w:val="00974FC8"/>
    <w:rsid w:val="0097610D"/>
    <w:rsid w:val="009761AE"/>
    <w:rsid w:val="00977B71"/>
    <w:rsid w:val="00980862"/>
    <w:rsid w:val="0098186D"/>
    <w:rsid w:val="0098244A"/>
    <w:rsid w:val="00985A5B"/>
    <w:rsid w:val="00991529"/>
    <w:rsid w:val="00991D8F"/>
    <w:rsid w:val="00991ED8"/>
    <w:rsid w:val="0099242D"/>
    <w:rsid w:val="00992DAD"/>
    <w:rsid w:val="00996531"/>
    <w:rsid w:val="0099689D"/>
    <w:rsid w:val="009A37A2"/>
    <w:rsid w:val="009A4327"/>
    <w:rsid w:val="009A4B5D"/>
    <w:rsid w:val="009A6C65"/>
    <w:rsid w:val="009B0A30"/>
    <w:rsid w:val="009B0CF0"/>
    <w:rsid w:val="009B1A4D"/>
    <w:rsid w:val="009B29CC"/>
    <w:rsid w:val="009B3258"/>
    <w:rsid w:val="009B3D80"/>
    <w:rsid w:val="009B464F"/>
    <w:rsid w:val="009B55B2"/>
    <w:rsid w:val="009B6899"/>
    <w:rsid w:val="009B6C55"/>
    <w:rsid w:val="009C0C22"/>
    <w:rsid w:val="009C158D"/>
    <w:rsid w:val="009C25A2"/>
    <w:rsid w:val="009C271A"/>
    <w:rsid w:val="009C5B74"/>
    <w:rsid w:val="009C60D2"/>
    <w:rsid w:val="009C7A4A"/>
    <w:rsid w:val="009D1785"/>
    <w:rsid w:val="009D1C6C"/>
    <w:rsid w:val="009D2A02"/>
    <w:rsid w:val="009D2EF9"/>
    <w:rsid w:val="009D49E3"/>
    <w:rsid w:val="009D5938"/>
    <w:rsid w:val="009D777E"/>
    <w:rsid w:val="009E0627"/>
    <w:rsid w:val="009E2487"/>
    <w:rsid w:val="009E3497"/>
    <w:rsid w:val="009E3A89"/>
    <w:rsid w:val="009E41DF"/>
    <w:rsid w:val="009E5539"/>
    <w:rsid w:val="009E56D0"/>
    <w:rsid w:val="009E5C3D"/>
    <w:rsid w:val="009E6CA2"/>
    <w:rsid w:val="009E76D0"/>
    <w:rsid w:val="009E781D"/>
    <w:rsid w:val="009E7DF2"/>
    <w:rsid w:val="009E7FF2"/>
    <w:rsid w:val="009F143A"/>
    <w:rsid w:val="009F3D19"/>
    <w:rsid w:val="009F47C7"/>
    <w:rsid w:val="009F53CD"/>
    <w:rsid w:val="00A0296F"/>
    <w:rsid w:val="00A05FF8"/>
    <w:rsid w:val="00A10B9F"/>
    <w:rsid w:val="00A15131"/>
    <w:rsid w:val="00A152BC"/>
    <w:rsid w:val="00A15656"/>
    <w:rsid w:val="00A17FCD"/>
    <w:rsid w:val="00A212EA"/>
    <w:rsid w:val="00A21946"/>
    <w:rsid w:val="00A231C0"/>
    <w:rsid w:val="00A246C4"/>
    <w:rsid w:val="00A254D6"/>
    <w:rsid w:val="00A263CD"/>
    <w:rsid w:val="00A2796E"/>
    <w:rsid w:val="00A27CD5"/>
    <w:rsid w:val="00A30B17"/>
    <w:rsid w:val="00A34907"/>
    <w:rsid w:val="00A34C1F"/>
    <w:rsid w:val="00A3542C"/>
    <w:rsid w:val="00A3586A"/>
    <w:rsid w:val="00A35F77"/>
    <w:rsid w:val="00A37BA0"/>
    <w:rsid w:val="00A40411"/>
    <w:rsid w:val="00A4164A"/>
    <w:rsid w:val="00A42E1D"/>
    <w:rsid w:val="00A459DB"/>
    <w:rsid w:val="00A46817"/>
    <w:rsid w:val="00A47C73"/>
    <w:rsid w:val="00A5216D"/>
    <w:rsid w:val="00A54EAD"/>
    <w:rsid w:val="00A5552A"/>
    <w:rsid w:val="00A6021E"/>
    <w:rsid w:val="00A604E3"/>
    <w:rsid w:val="00A61502"/>
    <w:rsid w:val="00A625CE"/>
    <w:rsid w:val="00A653D6"/>
    <w:rsid w:val="00A664EF"/>
    <w:rsid w:val="00A66EC1"/>
    <w:rsid w:val="00A70F85"/>
    <w:rsid w:val="00A71046"/>
    <w:rsid w:val="00A71472"/>
    <w:rsid w:val="00A71CB9"/>
    <w:rsid w:val="00A73E0F"/>
    <w:rsid w:val="00A772D8"/>
    <w:rsid w:val="00A80477"/>
    <w:rsid w:val="00A8183F"/>
    <w:rsid w:val="00A8636C"/>
    <w:rsid w:val="00A87C69"/>
    <w:rsid w:val="00A91C2F"/>
    <w:rsid w:val="00A91E0F"/>
    <w:rsid w:val="00A93CB4"/>
    <w:rsid w:val="00A953FE"/>
    <w:rsid w:val="00A95F2D"/>
    <w:rsid w:val="00A97F50"/>
    <w:rsid w:val="00AA0066"/>
    <w:rsid w:val="00AA0FE6"/>
    <w:rsid w:val="00AA1612"/>
    <w:rsid w:val="00AA2440"/>
    <w:rsid w:val="00AA4317"/>
    <w:rsid w:val="00AA5217"/>
    <w:rsid w:val="00AA69DA"/>
    <w:rsid w:val="00AA7692"/>
    <w:rsid w:val="00AA7F54"/>
    <w:rsid w:val="00AB18FD"/>
    <w:rsid w:val="00AB422D"/>
    <w:rsid w:val="00AB4796"/>
    <w:rsid w:val="00AB4B96"/>
    <w:rsid w:val="00AB5086"/>
    <w:rsid w:val="00AC0984"/>
    <w:rsid w:val="00AC2B57"/>
    <w:rsid w:val="00AC2FFD"/>
    <w:rsid w:val="00AC3D19"/>
    <w:rsid w:val="00AC472C"/>
    <w:rsid w:val="00AC66DF"/>
    <w:rsid w:val="00AC6DDC"/>
    <w:rsid w:val="00AD1F8D"/>
    <w:rsid w:val="00AD4A07"/>
    <w:rsid w:val="00AD4A51"/>
    <w:rsid w:val="00AD5136"/>
    <w:rsid w:val="00AE0A72"/>
    <w:rsid w:val="00AE1BB2"/>
    <w:rsid w:val="00AE2ABC"/>
    <w:rsid w:val="00AE2C2C"/>
    <w:rsid w:val="00AE483F"/>
    <w:rsid w:val="00AE5B4D"/>
    <w:rsid w:val="00AF1346"/>
    <w:rsid w:val="00AF1985"/>
    <w:rsid w:val="00AF1ED2"/>
    <w:rsid w:val="00AF2CF5"/>
    <w:rsid w:val="00AF3DF9"/>
    <w:rsid w:val="00AF4333"/>
    <w:rsid w:val="00AF468A"/>
    <w:rsid w:val="00AF536E"/>
    <w:rsid w:val="00AF57FD"/>
    <w:rsid w:val="00AF5CF9"/>
    <w:rsid w:val="00AF5F0E"/>
    <w:rsid w:val="00AF61D0"/>
    <w:rsid w:val="00AF7AEA"/>
    <w:rsid w:val="00AF7B0C"/>
    <w:rsid w:val="00B00AC6"/>
    <w:rsid w:val="00B00AD2"/>
    <w:rsid w:val="00B0128E"/>
    <w:rsid w:val="00B04BE0"/>
    <w:rsid w:val="00B050C6"/>
    <w:rsid w:val="00B075E1"/>
    <w:rsid w:val="00B07CC7"/>
    <w:rsid w:val="00B07D84"/>
    <w:rsid w:val="00B11EBC"/>
    <w:rsid w:val="00B12942"/>
    <w:rsid w:val="00B139CE"/>
    <w:rsid w:val="00B13EAD"/>
    <w:rsid w:val="00B1553C"/>
    <w:rsid w:val="00B2105B"/>
    <w:rsid w:val="00B222DD"/>
    <w:rsid w:val="00B23E0F"/>
    <w:rsid w:val="00B24DF4"/>
    <w:rsid w:val="00B27CEA"/>
    <w:rsid w:val="00B27EB5"/>
    <w:rsid w:val="00B3134B"/>
    <w:rsid w:val="00B322D3"/>
    <w:rsid w:val="00B33AE1"/>
    <w:rsid w:val="00B3427D"/>
    <w:rsid w:val="00B35E52"/>
    <w:rsid w:val="00B367FF"/>
    <w:rsid w:val="00B36B8C"/>
    <w:rsid w:val="00B36C14"/>
    <w:rsid w:val="00B37C64"/>
    <w:rsid w:val="00B4030B"/>
    <w:rsid w:val="00B40D29"/>
    <w:rsid w:val="00B427C2"/>
    <w:rsid w:val="00B44E04"/>
    <w:rsid w:val="00B51A1C"/>
    <w:rsid w:val="00B5204C"/>
    <w:rsid w:val="00B534CA"/>
    <w:rsid w:val="00B55BC9"/>
    <w:rsid w:val="00B56B79"/>
    <w:rsid w:val="00B600B4"/>
    <w:rsid w:val="00B601F3"/>
    <w:rsid w:val="00B60682"/>
    <w:rsid w:val="00B61286"/>
    <w:rsid w:val="00B61481"/>
    <w:rsid w:val="00B66417"/>
    <w:rsid w:val="00B66CB9"/>
    <w:rsid w:val="00B66DA9"/>
    <w:rsid w:val="00B71226"/>
    <w:rsid w:val="00B72F86"/>
    <w:rsid w:val="00B7446F"/>
    <w:rsid w:val="00B74C99"/>
    <w:rsid w:val="00B759C8"/>
    <w:rsid w:val="00B76B39"/>
    <w:rsid w:val="00B803D9"/>
    <w:rsid w:val="00B85D86"/>
    <w:rsid w:val="00B861EC"/>
    <w:rsid w:val="00B90230"/>
    <w:rsid w:val="00B91269"/>
    <w:rsid w:val="00B946DC"/>
    <w:rsid w:val="00B94B68"/>
    <w:rsid w:val="00B968BA"/>
    <w:rsid w:val="00B97522"/>
    <w:rsid w:val="00B97E9E"/>
    <w:rsid w:val="00BA1089"/>
    <w:rsid w:val="00BA3173"/>
    <w:rsid w:val="00BA3974"/>
    <w:rsid w:val="00BA5C71"/>
    <w:rsid w:val="00BA6F67"/>
    <w:rsid w:val="00BA75FF"/>
    <w:rsid w:val="00BB15E2"/>
    <w:rsid w:val="00BB2BC0"/>
    <w:rsid w:val="00BB3F62"/>
    <w:rsid w:val="00BB6E4E"/>
    <w:rsid w:val="00BB7C3D"/>
    <w:rsid w:val="00BC0CDE"/>
    <w:rsid w:val="00BC26AF"/>
    <w:rsid w:val="00BC353F"/>
    <w:rsid w:val="00BC43F9"/>
    <w:rsid w:val="00BC589C"/>
    <w:rsid w:val="00BC6F32"/>
    <w:rsid w:val="00BD0350"/>
    <w:rsid w:val="00BD0584"/>
    <w:rsid w:val="00BD0EDC"/>
    <w:rsid w:val="00BD21E2"/>
    <w:rsid w:val="00BD2FA0"/>
    <w:rsid w:val="00BD3EDC"/>
    <w:rsid w:val="00BD5025"/>
    <w:rsid w:val="00BD5C7B"/>
    <w:rsid w:val="00BE1A55"/>
    <w:rsid w:val="00BE3DBB"/>
    <w:rsid w:val="00BE4515"/>
    <w:rsid w:val="00BE506B"/>
    <w:rsid w:val="00BE5392"/>
    <w:rsid w:val="00BE65A7"/>
    <w:rsid w:val="00BF0805"/>
    <w:rsid w:val="00BF3C63"/>
    <w:rsid w:val="00BF571B"/>
    <w:rsid w:val="00BF6142"/>
    <w:rsid w:val="00BF618F"/>
    <w:rsid w:val="00BF682E"/>
    <w:rsid w:val="00C02424"/>
    <w:rsid w:val="00C02710"/>
    <w:rsid w:val="00C02A71"/>
    <w:rsid w:val="00C0435B"/>
    <w:rsid w:val="00C061C1"/>
    <w:rsid w:val="00C07A4A"/>
    <w:rsid w:val="00C10B20"/>
    <w:rsid w:val="00C10C28"/>
    <w:rsid w:val="00C11ADC"/>
    <w:rsid w:val="00C120E3"/>
    <w:rsid w:val="00C15121"/>
    <w:rsid w:val="00C15D9C"/>
    <w:rsid w:val="00C15F03"/>
    <w:rsid w:val="00C20B92"/>
    <w:rsid w:val="00C22D26"/>
    <w:rsid w:val="00C2356A"/>
    <w:rsid w:val="00C26D5A"/>
    <w:rsid w:val="00C27210"/>
    <w:rsid w:val="00C27751"/>
    <w:rsid w:val="00C27A74"/>
    <w:rsid w:val="00C30487"/>
    <w:rsid w:val="00C322F0"/>
    <w:rsid w:val="00C33D0E"/>
    <w:rsid w:val="00C33F66"/>
    <w:rsid w:val="00C35ADD"/>
    <w:rsid w:val="00C35B9E"/>
    <w:rsid w:val="00C40CD7"/>
    <w:rsid w:val="00C42443"/>
    <w:rsid w:val="00C42FFB"/>
    <w:rsid w:val="00C45434"/>
    <w:rsid w:val="00C52231"/>
    <w:rsid w:val="00C531C3"/>
    <w:rsid w:val="00C5502F"/>
    <w:rsid w:val="00C56961"/>
    <w:rsid w:val="00C56A25"/>
    <w:rsid w:val="00C60EF9"/>
    <w:rsid w:val="00C62251"/>
    <w:rsid w:val="00C6463E"/>
    <w:rsid w:val="00C66989"/>
    <w:rsid w:val="00C710DB"/>
    <w:rsid w:val="00C71164"/>
    <w:rsid w:val="00C71466"/>
    <w:rsid w:val="00C738FE"/>
    <w:rsid w:val="00C75687"/>
    <w:rsid w:val="00C77AFF"/>
    <w:rsid w:val="00C80E7B"/>
    <w:rsid w:val="00C83A27"/>
    <w:rsid w:val="00C83DAB"/>
    <w:rsid w:val="00C8402A"/>
    <w:rsid w:val="00C84147"/>
    <w:rsid w:val="00C861D8"/>
    <w:rsid w:val="00C86427"/>
    <w:rsid w:val="00C86AAF"/>
    <w:rsid w:val="00C87A3C"/>
    <w:rsid w:val="00C93E06"/>
    <w:rsid w:val="00C93E9E"/>
    <w:rsid w:val="00C94C1D"/>
    <w:rsid w:val="00C9549D"/>
    <w:rsid w:val="00C97332"/>
    <w:rsid w:val="00C97AC5"/>
    <w:rsid w:val="00CA01DA"/>
    <w:rsid w:val="00CA09E8"/>
    <w:rsid w:val="00CA2726"/>
    <w:rsid w:val="00CA336F"/>
    <w:rsid w:val="00CA3F10"/>
    <w:rsid w:val="00CA4836"/>
    <w:rsid w:val="00CA530E"/>
    <w:rsid w:val="00CA54C9"/>
    <w:rsid w:val="00CB0818"/>
    <w:rsid w:val="00CB0CD5"/>
    <w:rsid w:val="00CB12F2"/>
    <w:rsid w:val="00CB1363"/>
    <w:rsid w:val="00CB1564"/>
    <w:rsid w:val="00CB5373"/>
    <w:rsid w:val="00CB6921"/>
    <w:rsid w:val="00CC0C43"/>
    <w:rsid w:val="00CC0F2D"/>
    <w:rsid w:val="00CC1753"/>
    <w:rsid w:val="00CC408C"/>
    <w:rsid w:val="00CC6196"/>
    <w:rsid w:val="00CC751F"/>
    <w:rsid w:val="00CC78EE"/>
    <w:rsid w:val="00CC7B8A"/>
    <w:rsid w:val="00CC7D95"/>
    <w:rsid w:val="00CD00EF"/>
    <w:rsid w:val="00CD0CA0"/>
    <w:rsid w:val="00CD2832"/>
    <w:rsid w:val="00CD2969"/>
    <w:rsid w:val="00CD3293"/>
    <w:rsid w:val="00CD452A"/>
    <w:rsid w:val="00CD7CC9"/>
    <w:rsid w:val="00CE0013"/>
    <w:rsid w:val="00CE2660"/>
    <w:rsid w:val="00CE2ADF"/>
    <w:rsid w:val="00CE41AC"/>
    <w:rsid w:val="00CE69D7"/>
    <w:rsid w:val="00CE7A14"/>
    <w:rsid w:val="00CF1766"/>
    <w:rsid w:val="00CF1B4B"/>
    <w:rsid w:val="00CF1C04"/>
    <w:rsid w:val="00CF1D09"/>
    <w:rsid w:val="00CF215B"/>
    <w:rsid w:val="00CF2A69"/>
    <w:rsid w:val="00CF6DF7"/>
    <w:rsid w:val="00CF72D0"/>
    <w:rsid w:val="00D0090C"/>
    <w:rsid w:val="00D028C3"/>
    <w:rsid w:val="00D02F95"/>
    <w:rsid w:val="00D07B33"/>
    <w:rsid w:val="00D10189"/>
    <w:rsid w:val="00D1401D"/>
    <w:rsid w:val="00D165A7"/>
    <w:rsid w:val="00D16921"/>
    <w:rsid w:val="00D206C1"/>
    <w:rsid w:val="00D2121A"/>
    <w:rsid w:val="00D22177"/>
    <w:rsid w:val="00D22818"/>
    <w:rsid w:val="00D2424B"/>
    <w:rsid w:val="00D25DB8"/>
    <w:rsid w:val="00D2748C"/>
    <w:rsid w:val="00D33C00"/>
    <w:rsid w:val="00D33EC2"/>
    <w:rsid w:val="00D34A60"/>
    <w:rsid w:val="00D35F7D"/>
    <w:rsid w:val="00D40C82"/>
    <w:rsid w:val="00D4160B"/>
    <w:rsid w:val="00D417FC"/>
    <w:rsid w:val="00D41847"/>
    <w:rsid w:val="00D41E50"/>
    <w:rsid w:val="00D42C3B"/>
    <w:rsid w:val="00D43499"/>
    <w:rsid w:val="00D44801"/>
    <w:rsid w:val="00D44B8D"/>
    <w:rsid w:val="00D45C9F"/>
    <w:rsid w:val="00D466A8"/>
    <w:rsid w:val="00D466A9"/>
    <w:rsid w:val="00D520C8"/>
    <w:rsid w:val="00D52251"/>
    <w:rsid w:val="00D52664"/>
    <w:rsid w:val="00D54097"/>
    <w:rsid w:val="00D55ECD"/>
    <w:rsid w:val="00D564E4"/>
    <w:rsid w:val="00D56CD7"/>
    <w:rsid w:val="00D5790A"/>
    <w:rsid w:val="00D62E24"/>
    <w:rsid w:val="00D65604"/>
    <w:rsid w:val="00D675DD"/>
    <w:rsid w:val="00D709B9"/>
    <w:rsid w:val="00D715BB"/>
    <w:rsid w:val="00D72868"/>
    <w:rsid w:val="00D7329C"/>
    <w:rsid w:val="00D76175"/>
    <w:rsid w:val="00D766F3"/>
    <w:rsid w:val="00D773DF"/>
    <w:rsid w:val="00D77CCF"/>
    <w:rsid w:val="00D8027D"/>
    <w:rsid w:val="00D80BB9"/>
    <w:rsid w:val="00D829CB"/>
    <w:rsid w:val="00D82D6C"/>
    <w:rsid w:val="00D82E95"/>
    <w:rsid w:val="00D915AB"/>
    <w:rsid w:val="00D91F79"/>
    <w:rsid w:val="00D95FCB"/>
    <w:rsid w:val="00DA2604"/>
    <w:rsid w:val="00DA3F40"/>
    <w:rsid w:val="00DA4AFB"/>
    <w:rsid w:val="00DA4EB4"/>
    <w:rsid w:val="00DA5087"/>
    <w:rsid w:val="00DA60CF"/>
    <w:rsid w:val="00DA638E"/>
    <w:rsid w:val="00DA6B37"/>
    <w:rsid w:val="00DA75DF"/>
    <w:rsid w:val="00DB0C01"/>
    <w:rsid w:val="00DB1113"/>
    <w:rsid w:val="00DB1156"/>
    <w:rsid w:val="00DB65CB"/>
    <w:rsid w:val="00DB6623"/>
    <w:rsid w:val="00DB70A8"/>
    <w:rsid w:val="00DB7CA3"/>
    <w:rsid w:val="00DC05C5"/>
    <w:rsid w:val="00DC0880"/>
    <w:rsid w:val="00DC187A"/>
    <w:rsid w:val="00DC2B50"/>
    <w:rsid w:val="00DC2EB6"/>
    <w:rsid w:val="00DC43A8"/>
    <w:rsid w:val="00DC4553"/>
    <w:rsid w:val="00DC513E"/>
    <w:rsid w:val="00DC5293"/>
    <w:rsid w:val="00DC5ACD"/>
    <w:rsid w:val="00DC6999"/>
    <w:rsid w:val="00DC6E41"/>
    <w:rsid w:val="00DC75E6"/>
    <w:rsid w:val="00DC75EF"/>
    <w:rsid w:val="00DC778B"/>
    <w:rsid w:val="00DC79AA"/>
    <w:rsid w:val="00DC7DB4"/>
    <w:rsid w:val="00DD0AAD"/>
    <w:rsid w:val="00DD0ACE"/>
    <w:rsid w:val="00DD372D"/>
    <w:rsid w:val="00DD5A38"/>
    <w:rsid w:val="00DD6CBC"/>
    <w:rsid w:val="00DD76B0"/>
    <w:rsid w:val="00DE0CD2"/>
    <w:rsid w:val="00DE321F"/>
    <w:rsid w:val="00DE4F68"/>
    <w:rsid w:val="00DE618E"/>
    <w:rsid w:val="00DF042E"/>
    <w:rsid w:val="00DF1141"/>
    <w:rsid w:val="00DF3C98"/>
    <w:rsid w:val="00DF3DC8"/>
    <w:rsid w:val="00DF42EC"/>
    <w:rsid w:val="00DF4353"/>
    <w:rsid w:val="00DF4840"/>
    <w:rsid w:val="00DF4D1B"/>
    <w:rsid w:val="00DF4FB1"/>
    <w:rsid w:val="00DF5FA4"/>
    <w:rsid w:val="00E00A0C"/>
    <w:rsid w:val="00E0121D"/>
    <w:rsid w:val="00E01A7B"/>
    <w:rsid w:val="00E13830"/>
    <w:rsid w:val="00E139EF"/>
    <w:rsid w:val="00E13B15"/>
    <w:rsid w:val="00E1524E"/>
    <w:rsid w:val="00E16BE1"/>
    <w:rsid w:val="00E16C96"/>
    <w:rsid w:val="00E216F4"/>
    <w:rsid w:val="00E223DE"/>
    <w:rsid w:val="00E22D88"/>
    <w:rsid w:val="00E24AE4"/>
    <w:rsid w:val="00E24FC0"/>
    <w:rsid w:val="00E25DB2"/>
    <w:rsid w:val="00E27662"/>
    <w:rsid w:val="00E3167E"/>
    <w:rsid w:val="00E33756"/>
    <w:rsid w:val="00E34361"/>
    <w:rsid w:val="00E35504"/>
    <w:rsid w:val="00E4058F"/>
    <w:rsid w:val="00E43DC4"/>
    <w:rsid w:val="00E4411F"/>
    <w:rsid w:val="00E44E13"/>
    <w:rsid w:val="00E45090"/>
    <w:rsid w:val="00E464CE"/>
    <w:rsid w:val="00E502E2"/>
    <w:rsid w:val="00E514B8"/>
    <w:rsid w:val="00E61879"/>
    <w:rsid w:val="00E62A11"/>
    <w:rsid w:val="00E63320"/>
    <w:rsid w:val="00E65751"/>
    <w:rsid w:val="00E658F9"/>
    <w:rsid w:val="00E667A1"/>
    <w:rsid w:val="00E66B43"/>
    <w:rsid w:val="00E6742B"/>
    <w:rsid w:val="00E704C8"/>
    <w:rsid w:val="00E70A6E"/>
    <w:rsid w:val="00E7253E"/>
    <w:rsid w:val="00E73A0B"/>
    <w:rsid w:val="00E84579"/>
    <w:rsid w:val="00E854AD"/>
    <w:rsid w:val="00E86374"/>
    <w:rsid w:val="00E863DC"/>
    <w:rsid w:val="00E90BCD"/>
    <w:rsid w:val="00E91D6B"/>
    <w:rsid w:val="00E93BEE"/>
    <w:rsid w:val="00E93D40"/>
    <w:rsid w:val="00EA06B5"/>
    <w:rsid w:val="00EA43AB"/>
    <w:rsid w:val="00EA542A"/>
    <w:rsid w:val="00EA5CE6"/>
    <w:rsid w:val="00EB025B"/>
    <w:rsid w:val="00EB16F0"/>
    <w:rsid w:val="00EB2AF8"/>
    <w:rsid w:val="00EB3DC0"/>
    <w:rsid w:val="00EB418D"/>
    <w:rsid w:val="00EB7B66"/>
    <w:rsid w:val="00EC1CD8"/>
    <w:rsid w:val="00EC3230"/>
    <w:rsid w:val="00EC6488"/>
    <w:rsid w:val="00ED09F5"/>
    <w:rsid w:val="00ED104F"/>
    <w:rsid w:val="00ED20C5"/>
    <w:rsid w:val="00ED343D"/>
    <w:rsid w:val="00ED3AC2"/>
    <w:rsid w:val="00ED640E"/>
    <w:rsid w:val="00EE19E1"/>
    <w:rsid w:val="00EE1A58"/>
    <w:rsid w:val="00EE30AD"/>
    <w:rsid w:val="00EE43A7"/>
    <w:rsid w:val="00EE46AE"/>
    <w:rsid w:val="00EE5699"/>
    <w:rsid w:val="00EE6129"/>
    <w:rsid w:val="00EF6757"/>
    <w:rsid w:val="00EF68A9"/>
    <w:rsid w:val="00EF7128"/>
    <w:rsid w:val="00EF783C"/>
    <w:rsid w:val="00EF79DF"/>
    <w:rsid w:val="00F015FC"/>
    <w:rsid w:val="00F024F0"/>
    <w:rsid w:val="00F03643"/>
    <w:rsid w:val="00F03739"/>
    <w:rsid w:val="00F043C1"/>
    <w:rsid w:val="00F04829"/>
    <w:rsid w:val="00F070D7"/>
    <w:rsid w:val="00F07A27"/>
    <w:rsid w:val="00F13D0F"/>
    <w:rsid w:val="00F15F96"/>
    <w:rsid w:val="00F17B7C"/>
    <w:rsid w:val="00F20596"/>
    <w:rsid w:val="00F21BB9"/>
    <w:rsid w:val="00F237AA"/>
    <w:rsid w:val="00F23B82"/>
    <w:rsid w:val="00F25846"/>
    <w:rsid w:val="00F30B4C"/>
    <w:rsid w:val="00F3142C"/>
    <w:rsid w:val="00F31A1D"/>
    <w:rsid w:val="00F31B55"/>
    <w:rsid w:val="00F36F62"/>
    <w:rsid w:val="00F37844"/>
    <w:rsid w:val="00F457A3"/>
    <w:rsid w:val="00F45AE7"/>
    <w:rsid w:val="00F45AF0"/>
    <w:rsid w:val="00F46232"/>
    <w:rsid w:val="00F50DA7"/>
    <w:rsid w:val="00F56BB1"/>
    <w:rsid w:val="00F6188F"/>
    <w:rsid w:val="00F623B3"/>
    <w:rsid w:val="00F6299A"/>
    <w:rsid w:val="00F637D3"/>
    <w:rsid w:val="00F64B8F"/>
    <w:rsid w:val="00F65542"/>
    <w:rsid w:val="00F662CC"/>
    <w:rsid w:val="00F67A12"/>
    <w:rsid w:val="00F70291"/>
    <w:rsid w:val="00F7078C"/>
    <w:rsid w:val="00F70F0E"/>
    <w:rsid w:val="00F72A5A"/>
    <w:rsid w:val="00F73211"/>
    <w:rsid w:val="00F73794"/>
    <w:rsid w:val="00F750F9"/>
    <w:rsid w:val="00F763EF"/>
    <w:rsid w:val="00F76AE0"/>
    <w:rsid w:val="00F7797C"/>
    <w:rsid w:val="00F8096B"/>
    <w:rsid w:val="00F811E7"/>
    <w:rsid w:val="00F8353C"/>
    <w:rsid w:val="00F84560"/>
    <w:rsid w:val="00F90AA0"/>
    <w:rsid w:val="00F91A4D"/>
    <w:rsid w:val="00F9213E"/>
    <w:rsid w:val="00F95321"/>
    <w:rsid w:val="00F95B06"/>
    <w:rsid w:val="00F974B3"/>
    <w:rsid w:val="00FA13CF"/>
    <w:rsid w:val="00FA2911"/>
    <w:rsid w:val="00FA4E96"/>
    <w:rsid w:val="00FA5091"/>
    <w:rsid w:val="00FA549C"/>
    <w:rsid w:val="00FB1719"/>
    <w:rsid w:val="00FB1C7E"/>
    <w:rsid w:val="00FB2B66"/>
    <w:rsid w:val="00FB50D4"/>
    <w:rsid w:val="00FB5892"/>
    <w:rsid w:val="00FB6D40"/>
    <w:rsid w:val="00FC0779"/>
    <w:rsid w:val="00FC1215"/>
    <w:rsid w:val="00FC17F3"/>
    <w:rsid w:val="00FC6885"/>
    <w:rsid w:val="00FC73E8"/>
    <w:rsid w:val="00FC7BF3"/>
    <w:rsid w:val="00FC7EDE"/>
    <w:rsid w:val="00FD5E10"/>
    <w:rsid w:val="00FD760B"/>
    <w:rsid w:val="00FD76BC"/>
    <w:rsid w:val="00FD7944"/>
    <w:rsid w:val="00FE1088"/>
    <w:rsid w:val="00FE12BA"/>
    <w:rsid w:val="00FE2B40"/>
    <w:rsid w:val="00FE5149"/>
    <w:rsid w:val="00FE5EDA"/>
    <w:rsid w:val="00FE6E56"/>
    <w:rsid w:val="00FE79E1"/>
    <w:rsid w:val="00FF039D"/>
    <w:rsid w:val="00FF0647"/>
    <w:rsid w:val="00FF232B"/>
    <w:rsid w:val="00FF25C9"/>
    <w:rsid w:val="00FF2646"/>
    <w:rsid w:val="00FF37E7"/>
    <w:rsid w:val="00FF3EFB"/>
    <w:rsid w:val="00FF45CE"/>
    <w:rsid w:val="00FF558F"/>
    <w:rsid w:val="00FF5B8A"/>
    <w:rsid w:val="00FF662F"/>
    <w:rsid w:val="00FF6D05"/>
    <w:rsid w:val="02B1EDA9"/>
    <w:rsid w:val="02C09664"/>
    <w:rsid w:val="032D592D"/>
    <w:rsid w:val="033C967D"/>
    <w:rsid w:val="039657D2"/>
    <w:rsid w:val="040CE599"/>
    <w:rsid w:val="045B22D9"/>
    <w:rsid w:val="0486DF8B"/>
    <w:rsid w:val="05447FF2"/>
    <w:rsid w:val="0657007B"/>
    <w:rsid w:val="07B0F3CF"/>
    <w:rsid w:val="0874F2DF"/>
    <w:rsid w:val="08954911"/>
    <w:rsid w:val="08C530EB"/>
    <w:rsid w:val="094E2B59"/>
    <w:rsid w:val="0A5BB914"/>
    <w:rsid w:val="0B4088E5"/>
    <w:rsid w:val="0B5B2738"/>
    <w:rsid w:val="0B84C9F5"/>
    <w:rsid w:val="0BA1EC39"/>
    <w:rsid w:val="0D5723BE"/>
    <w:rsid w:val="0E676B62"/>
    <w:rsid w:val="0F2AFBE0"/>
    <w:rsid w:val="0F4B33C8"/>
    <w:rsid w:val="0FE49CC5"/>
    <w:rsid w:val="101A2A8F"/>
    <w:rsid w:val="1046455F"/>
    <w:rsid w:val="11F8ECB4"/>
    <w:rsid w:val="133E57A5"/>
    <w:rsid w:val="13ADB88A"/>
    <w:rsid w:val="14BCE0B9"/>
    <w:rsid w:val="14C5C88E"/>
    <w:rsid w:val="14E08907"/>
    <w:rsid w:val="1572207E"/>
    <w:rsid w:val="15A23443"/>
    <w:rsid w:val="167DF3E7"/>
    <w:rsid w:val="16B968F8"/>
    <w:rsid w:val="1878862B"/>
    <w:rsid w:val="1883ADD4"/>
    <w:rsid w:val="1A1DA7D7"/>
    <w:rsid w:val="1B221F70"/>
    <w:rsid w:val="1BCD5681"/>
    <w:rsid w:val="1BE50DFC"/>
    <w:rsid w:val="1D6DA327"/>
    <w:rsid w:val="1E03AF9E"/>
    <w:rsid w:val="1EB0D94A"/>
    <w:rsid w:val="1EC5B612"/>
    <w:rsid w:val="1EDBDC71"/>
    <w:rsid w:val="1EE44134"/>
    <w:rsid w:val="1F01B740"/>
    <w:rsid w:val="1FF8F400"/>
    <w:rsid w:val="203CC477"/>
    <w:rsid w:val="2102758F"/>
    <w:rsid w:val="2103BA2A"/>
    <w:rsid w:val="211E7A6C"/>
    <w:rsid w:val="2148D7D4"/>
    <w:rsid w:val="215E1992"/>
    <w:rsid w:val="21A4E12D"/>
    <w:rsid w:val="22B46981"/>
    <w:rsid w:val="22E2D8C2"/>
    <w:rsid w:val="248B72BF"/>
    <w:rsid w:val="259FAFDB"/>
    <w:rsid w:val="25A271CC"/>
    <w:rsid w:val="25C520B8"/>
    <w:rsid w:val="264B621C"/>
    <w:rsid w:val="2736DE2C"/>
    <w:rsid w:val="27916DB7"/>
    <w:rsid w:val="2883B836"/>
    <w:rsid w:val="2A4C262F"/>
    <w:rsid w:val="2C3083EC"/>
    <w:rsid w:val="2EC96DD5"/>
    <w:rsid w:val="2FFA31E8"/>
    <w:rsid w:val="3115948D"/>
    <w:rsid w:val="31420743"/>
    <w:rsid w:val="320B55E7"/>
    <w:rsid w:val="33010CD1"/>
    <w:rsid w:val="3441D71D"/>
    <w:rsid w:val="34C91CE4"/>
    <w:rsid w:val="35673EC2"/>
    <w:rsid w:val="359E498E"/>
    <w:rsid w:val="35BF549A"/>
    <w:rsid w:val="35F564BF"/>
    <w:rsid w:val="365F42D3"/>
    <w:rsid w:val="36BC6997"/>
    <w:rsid w:val="3738E748"/>
    <w:rsid w:val="376803B1"/>
    <w:rsid w:val="380543CD"/>
    <w:rsid w:val="3816FAB5"/>
    <w:rsid w:val="39359257"/>
    <w:rsid w:val="39F321CB"/>
    <w:rsid w:val="3AE44A51"/>
    <w:rsid w:val="3B3D8152"/>
    <w:rsid w:val="3C124684"/>
    <w:rsid w:val="3C176733"/>
    <w:rsid w:val="3C3170C0"/>
    <w:rsid w:val="3CEAD81A"/>
    <w:rsid w:val="3D36E589"/>
    <w:rsid w:val="3E949382"/>
    <w:rsid w:val="3F0D7FF3"/>
    <w:rsid w:val="3F4A66EB"/>
    <w:rsid w:val="3F6E073D"/>
    <w:rsid w:val="401055B2"/>
    <w:rsid w:val="405AFB1C"/>
    <w:rsid w:val="409669E5"/>
    <w:rsid w:val="41C7677D"/>
    <w:rsid w:val="4296ECDE"/>
    <w:rsid w:val="4309EFEA"/>
    <w:rsid w:val="440D7984"/>
    <w:rsid w:val="4447E0D4"/>
    <w:rsid w:val="46704C29"/>
    <w:rsid w:val="46A58832"/>
    <w:rsid w:val="470C1A7D"/>
    <w:rsid w:val="4778ADEE"/>
    <w:rsid w:val="494FBCE6"/>
    <w:rsid w:val="49CF8835"/>
    <w:rsid w:val="4A3BE004"/>
    <w:rsid w:val="4B1D825B"/>
    <w:rsid w:val="4BE2E1DE"/>
    <w:rsid w:val="4C7D1613"/>
    <w:rsid w:val="4CCD1D73"/>
    <w:rsid w:val="4D3714FE"/>
    <w:rsid w:val="4E98E72C"/>
    <w:rsid w:val="4F90AC4A"/>
    <w:rsid w:val="50E5DE47"/>
    <w:rsid w:val="510F36D8"/>
    <w:rsid w:val="527B89A3"/>
    <w:rsid w:val="52BF8809"/>
    <w:rsid w:val="5386B950"/>
    <w:rsid w:val="53C58C8B"/>
    <w:rsid w:val="5502DC9E"/>
    <w:rsid w:val="5508C40C"/>
    <w:rsid w:val="55B8489A"/>
    <w:rsid w:val="55D48535"/>
    <w:rsid w:val="56FDB6AC"/>
    <w:rsid w:val="57705596"/>
    <w:rsid w:val="580CF78A"/>
    <w:rsid w:val="5CA5E603"/>
    <w:rsid w:val="5CFB75AB"/>
    <w:rsid w:val="5D5FB968"/>
    <w:rsid w:val="5DBD2B41"/>
    <w:rsid w:val="5ECC2C38"/>
    <w:rsid w:val="5FAEF627"/>
    <w:rsid w:val="62F76704"/>
    <w:rsid w:val="6325810F"/>
    <w:rsid w:val="63B85C26"/>
    <w:rsid w:val="645E835C"/>
    <w:rsid w:val="64D36B87"/>
    <w:rsid w:val="65E6ADD7"/>
    <w:rsid w:val="66172C0E"/>
    <w:rsid w:val="6633EF5D"/>
    <w:rsid w:val="666BCD08"/>
    <w:rsid w:val="6678228A"/>
    <w:rsid w:val="66E3314F"/>
    <w:rsid w:val="67914A68"/>
    <w:rsid w:val="6827D79C"/>
    <w:rsid w:val="68A24AA9"/>
    <w:rsid w:val="68EB7AD9"/>
    <w:rsid w:val="6A724EE7"/>
    <w:rsid w:val="6AC0899F"/>
    <w:rsid w:val="6AFF3777"/>
    <w:rsid w:val="6BCDB796"/>
    <w:rsid w:val="6BDE1136"/>
    <w:rsid w:val="6C7171B1"/>
    <w:rsid w:val="6C7C21A3"/>
    <w:rsid w:val="6D2BB9B2"/>
    <w:rsid w:val="6F746908"/>
    <w:rsid w:val="6F8EDDF2"/>
    <w:rsid w:val="6FC4FCB0"/>
    <w:rsid w:val="6FCFBBF8"/>
    <w:rsid w:val="70857DB5"/>
    <w:rsid w:val="71A6AE8B"/>
    <w:rsid w:val="7301932D"/>
    <w:rsid w:val="73132E9D"/>
    <w:rsid w:val="73D05395"/>
    <w:rsid w:val="75D87240"/>
    <w:rsid w:val="762BA26C"/>
    <w:rsid w:val="7861F9D5"/>
    <w:rsid w:val="79023F4D"/>
    <w:rsid w:val="7974B846"/>
    <w:rsid w:val="7BB6C608"/>
    <w:rsid w:val="7D846CC8"/>
    <w:rsid w:val="7DC6E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4C1E1"/>
  <w15:chartTrackingRefBased/>
  <w15:docId w15:val="{3B5D1FAA-94C6-914E-A772-F8F7B7E3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0D"/>
  </w:style>
  <w:style w:type="paragraph" w:styleId="Heading1">
    <w:name w:val="heading 1"/>
    <w:basedOn w:val="Normal"/>
    <w:next w:val="Normal"/>
    <w:link w:val="Heading1Char"/>
    <w:uiPriority w:val="9"/>
    <w:qFormat/>
    <w:rsid w:val="00C40C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32"/>
    <w:pPr>
      <w:ind w:left="720"/>
      <w:contextualSpacing/>
    </w:pPr>
  </w:style>
  <w:style w:type="character" w:styleId="Hyperlink">
    <w:name w:val="Hyperlink"/>
    <w:basedOn w:val="DefaultParagraphFont"/>
    <w:uiPriority w:val="99"/>
    <w:unhideWhenUsed/>
    <w:rsid w:val="00C93E9E"/>
    <w:rPr>
      <w:color w:val="0563C1" w:themeColor="hyperlink"/>
      <w:u w:val="single"/>
    </w:rPr>
  </w:style>
  <w:style w:type="character" w:styleId="UnresolvedMention">
    <w:name w:val="Unresolved Mention"/>
    <w:basedOn w:val="DefaultParagraphFont"/>
    <w:uiPriority w:val="99"/>
    <w:semiHidden/>
    <w:unhideWhenUsed/>
    <w:rsid w:val="00C93E9E"/>
    <w:rPr>
      <w:color w:val="605E5C"/>
      <w:shd w:val="clear" w:color="auto" w:fill="E1DFDD"/>
    </w:rPr>
  </w:style>
  <w:style w:type="character" w:styleId="FollowedHyperlink">
    <w:name w:val="FollowedHyperlink"/>
    <w:basedOn w:val="DefaultParagraphFont"/>
    <w:uiPriority w:val="99"/>
    <w:semiHidden/>
    <w:unhideWhenUsed/>
    <w:rsid w:val="00AC2FFD"/>
    <w:rPr>
      <w:color w:val="954F72" w:themeColor="followedHyperlink"/>
      <w:u w:val="single"/>
    </w:rPr>
  </w:style>
  <w:style w:type="paragraph" w:styleId="NormalWeb">
    <w:name w:val="Normal (Web)"/>
    <w:basedOn w:val="Normal"/>
    <w:uiPriority w:val="99"/>
    <w:unhideWhenUsed/>
    <w:rsid w:val="0024279D"/>
    <w:rPr>
      <w:rFonts w:ascii="Times New Roman" w:hAnsi="Times New Roman" w:cs="Times New Roman"/>
    </w:rPr>
  </w:style>
  <w:style w:type="character" w:customStyle="1" w:styleId="apple-converted-space">
    <w:name w:val="apple-converted-space"/>
    <w:basedOn w:val="DefaultParagraphFont"/>
    <w:rsid w:val="0024279D"/>
  </w:style>
  <w:style w:type="character" w:styleId="Emphasis">
    <w:name w:val="Emphasis"/>
    <w:basedOn w:val="DefaultParagraphFont"/>
    <w:uiPriority w:val="20"/>
    <w:qFormat/>
    <w:rsid w:val="0024279D"/>
    <w:rPr>
      <w:i/>
      <w:iCs/>
    </w:rPr>
  </w:style>
  <w:style w:type="character" w:customStyle="1" w:styleId="Heading1Char">
    <w:name w:val="Heading 1 Char"/>
    <w:basedOn w:val="DefaultParagraphFont"/>
    <w:link w:val="Heading1"/>
    <w:uiPriority w:val="9"/>
    <w:rsid w:val="00C40CD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40CD7"/>
    <w:rPr>
      <w:sz w:val="20"/>
      <w:szCs w:val="20"/>
    </w:rPr>
  </w:style>
  <w:style w:type="character" w:customStyle="1" w:styleId="FootnoteTextChar">
    <w:name w:val="Footnote Text Char"/>
    <w:basedOn w:val="DefaultParagraphFont"/>
    <w:link w:val="FootnoteText"/>
    <w:uiPriority w:val="99"/>
    <w:rsid w:val="00C40CD7"/>
    <w:rPr>
      <w:sz w:val="20"/>
      <w:szCs w:val="20"/>
    </w:rPr>
  </w:style>
  <w:style w:type="character" w:styleId="FootnoteReference">
    <w:name w:val="footnote reference"/>
    <w:basedOn w:val="DefaultParagraphFont"/>
    <w:uiPriority w:val="99"/>
    <w:semiHidden/>
    <w:unhideWhenUsed/>
    <w:rsid w:val="00C40CD7"/>
    <w:rPr>
      <w:vertAlign w:val="superscript"/>
    </w:rPr>
  </w:style>
  <w:style w:type="character" w:styleId="Strong">
    <w:name w:val="Strong"/>
    <w:basedOn w:val="DefaultParagraphFont"/>
    <w:uiPriority w:val="22"/>
    <w:qFormat/>
    <w:rsid w:val="00C40CD7"/>
    <w:rPr>
      <w:b/>
      <w:bCs/>
    </w:rPr>
  </w:style>
  <w:style w:type="paragraph" w:styleId="Header">
    <w:name w:val="header"/>
    <w:basedOn w:val="Normal"/>
    <w:link w:val="HeaderChar"/>
    <w:uiPriority w:val="99"/>
    <w:unhideWhenUsed/>
    <w:rsid w:val="004E5183"/>
    <w:pPr>
      <w:tabs>
        <w:tab w:val="center" w:pos="4513"/>
        <w:tab w:val="right" w:pos="9026"/>
      </w:tabs>
    </w:pPr>
  </w:style>
  <w:style w:type="character" w:customStyle="1" w:styleId="HeaderChar">
    <w:name w:val="Header Char"/>
    <w:basedOn w:val="DefaultParagraphFont"/>
    <w:link w:val="Header"/>
    <w:uiPriority w:val="99"/>
    <w:rsid w:val="004E5183"/>
  </w:style>
  <w:style w:type="paragraph" w:styleId="Footer">
    <w:name w:val="footer"/>
    <w:basedOn w:val="Normal"/>
    <w:link w:val="FooterChar"/>
    <w:uiPriority w:val="99"/>
    <w:unhideWhenUsed/>
    <w:rsid w:val="004E5183"/>
    <w:pPr>
      <w:tabs>
        <w:tab w:val="center" w:pos="4513"/>
        <w:tab w:val="right" w:pos="9026"/>
      </w:tabs>
    </w:pPr>
  </w:style>
  <w:style w:type="character" w:customStyle="1" w:styleId="FooterChar">
    <w:name w:val="Footer Char"/>
    <w:basedOn w:val="DefaultParagraphFont"/>
    <w:link w:val="Footer"/>
    <w:uiPriority w:val="99"/>
    <w:rsid w:val="004E5183"/>
  </w:style>
  <w:style w:type="character" w:styleId="CommentReference">
    <w:name w:val="annotation reference"/>
    <w:basedOn w:val="DefaultParagraphFont"/>
    <w:uiPriority w:val="99"/>
    <w:semiHidden/>
    <w:unhideWhenUsed/>
    <w:rsid w:val="00B00AC6"/>
    <w:rPr>
      <w:sz w:val="16"/>
      <w:szCs w:val="16"/>
    </w:rPr>
  </w:style>
  <w:style w:type="paragraph" w:styleId="CommentText">
    <w:name w:val="annotation text"/>
    <w:basedOn w:val="Normal"/>
    <w:link w:val="CommentTextChar"/>
    <w:uiPriority w:val="99"/>
    <w:semiHidden/>
    <w:unhideWhenUsed/>
    <w:rsid w:val="00B00AC6"/>
    <w:rPr>
      <w:sz w:val="20"/>
      <w:szCs w:val="20"/>
    </w:rPr>
  </w:style>
  <w:style w:type="character" w:customStyle="1" w:styleId="CommentTextChar">
    <w:name w:val="Comment Text Char"/>
    <w:basedOn w:val="DefaultParagraphFont"/>
    <w:link w:val="CommentText"/>
    <w:uiPriority w:val="99"/>
    <w:semiHidden/>
    <w:rsid w:val="00B00AC6"/>
    <w:rPr>
      <w:sz w:val="20"/>
      <w:szCs w:val="20"/>
    </w:rPr>
  </w:style>
  <w:style w:type="paragraph" w:styleId="CommentSubject">
    <w:name w:val="annotation subject"/>
    <w:basedOn w:val="CommentText"/>
    <w:next w:val="CommentText"/>
    <w:link w:val="CommentSubjectChar"/>
    <w:uiPriority w:val="99"/>
    <w:semiHidden/>
    <w:unhideWhenUsed/>
    <w:rsid w:val="00B00AC6"/>
    <w:rPr>
      <w:b/>
      <w:bCs/>
    </w:rPr>
  </w:style>
  <w:style w:type="character" w:customStyle="1" w:styleId="CommentSubjectChar">
    <w:name w:val="Comment Subject Char"/>
    <w:basedOn w:val="CommentTextChar"/>
    <w:link w:val="CommentSubject"/>
    <w:uiPriority w:val="99"/>
    <w:semiHidden/>
    <w:rsid w:val="00B00AC6"/>
    <w:rPr>
      <w:b/>
      <w:bCs/>
      <w:sz w:val="20"/>
      <w:szCs w:val="20"/>
    </w:rPr>
  </w:style>
  <w:style w:type="character" w:styleId="PageNumber">
    <w:name w:val="page number"/>
    <w:basedOn w:val="DefaultParagraphFont"/>
    <w:uiPriority w:val="99"/>
    <w:semiHidden/>
    <w:unhideWhenUsed/>
    <w:rsid w:val="009137FB"/>
  </w:style>
  <w:style w:type="paragraph" w:styleId="BodyText">
    <w:name w:val="Body Text"/>
    <w:basedOn w:val="Normal"/>
    <w:link w:val="BodyTextChar"/>
    <w:uiPriority w:val="99"/>
    <w:semiHidden/>
    <w:unhideWhenUsed/>
    <w:rsid w:val="00A93CB4"/>
    <w:pPr>
      <w:spacing w:after="120"/>
    </w:pPr>
  </w:style>
  <w:style w:type="character" w:customStyle="1" w:styleId="BodyTextChar">
    <w:name w:val="Body Text Char"/>
    <w:basedOn w:val="DefaultParagraphFont"/>
    <w:link w:val="BodyText"/>
    <w:uiPriority w:val="99"/>
    <w:semiHidden/>
    <w:rsid w:val="00A93CB4"/>
  </w:style>
  <w:style w:type="paragraph" w:styleId="NoSpacing">
    <w:name w:val="No Spacing"/>
    <w:uiPriority w:val="1"/>
    <w:qFormat/>
    <w:rsid w:val="00A71472"/>
  </w:style>
  <w:style w:type="character" w:customStyle="1" w:styleId="ui-provider">
    <w:name w:val="ui-provider"/>
    <w:basedOn w:val="DefaultParagraphFont"/>
    <w:rsid w:val="00E464CE"/>
  </w:style>
  <w:style w:type="paragraph" w:styleId="TOCHeading">
    <w:name w:val="TOC Heading"/>
    <w:basedOn w:val="Heading1"/>
    <w:next w:val="Normal"/>
    <w:uiPriority w:val="39"/>
    <w:unhideWhenUsed/>
    <w:qFormat/>
    <w:rsid w:val="00061DE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61DE5"/>
    <w:pPr>
      <w:spacing w:before="120"/>
    </w:pPr>
    <w:rPr>
      <w:rFonts w:cstheme="minorHAnsi"/>
      <w:b/>
      <w:bCs/>
      <w:i/>
      <w:iCs/>
    </w:rPr>
  </w:style>
  <w:style w:type="paragraph" w:styleId="TOC2">
    <w:name w:val="toc 2"/>
    <w:basedOn w:val="Normal"/>
    <w:next w:val="Normal"/>
    <w:autoRedefine/>
    <w:uiPriority w:val="39"/>
    <w:semiHidden/>
    <w:unhideWhenUsed/>
    <w:rsid w:val="00061DE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61DE5"/>
    <w:pPr>
      <w:ind w:left="480"/>
    </w:pPr>
    <w:rPr>
      <w:rFonts w:cstheme="minorHAnsi"/>
      <w:sz w:val="20"/>
      <w:szCs w:val="20"/>
    </w:rPr>
  </w:style>
  <w:style w:type="paragraph" w:styleId="TOC4">
    <w:name w:val="toc 4"/>
    <w:basedOn w:val="Normal"/>
    <w:next w:val="Normal"/>
    <w:autoRedefine/>
    <w:uiPriority w:val="39"/>
    <w:semiHidden/>
    <w:unhideWhenUsed/>
    <w:rsid w:val="00061DE5"/>
    <w:pPr>
      <w:ind w:left="720"/>
    </w:pPr>
    <w:rPr>
      <w:rFonts w:cstheme="minorHAnsi"/>
      <w:sz w:val="20"/>
      <w:szCs w:val="20"/>
    </w:rPr>
  </w:style>
  <w:style w:type="paragraph" w:styleId="TOC5">
    <w:name w:val="toc 5"/>
    <w:basedOn w:val="Normal"/>
    <w:next w:val="Normal"/>
    <w:autoRedefine/>
    <w:uiPriority w:val="39"/>
    <w:semiHidden/>
    <w:unhideWhenUsed/>
    <w:rsid w:val="00061DE5"/>
    <w:pPr>
      <w:ind w:left="960"/>
    </w:pPr>
    <w:rPr>
      <w:rFonts w:cstheme="minorHAnsi"/>
      <w:sz w:val="20"/>
      <w:szCs w:val="20"/>
    </w:rPr>
  </w:style>
  <w:style w:type="paragraph" w:styleId="TOC6">
    <w:name w:val="toc 6"/>
    <w:basedOn w:val="Normal"/>
    <w:next w:val="Normal"/>
    <w:autoRedefine/>
    <w:uiPriority w:val="39"/>
    <w:semiHidden/>
    <w:unhideWhenUsed/>
    <w:rsid w:val="00061DE5"/>
    <w:pPr>
      <w:ind w:left="1200"/>
    </w:pPr>
    <w:rPr>
      <w:rFonts w:cstheme="minorHAnsi"/>
      <w:sz w:val="20"/>
      <w:szCs w:val="20"/>
    </w:rPr>
  </w:style>
  <w:style w:type="paragraph" w:styleId="TOC7">
    <w:name w:val="toc 7"/>
    <w:basedOn w:val="Normal"/>
    <w:next w:val="Normal"/>
    <w:autoRedefine/>
    <w:uiPriority w:val="39"/>
    <w:semiHidden/>
    <w:unhideWhenUsed/>
    <w:rsid w:val="00061DE5"/>
    <w:pPr>
      <w:ind w:left="1440"/>
    </w:pPr>
    <w:rPr>
      <w:rFonts w:cstheme="minorHAnsi"/>
      <w:sz w:val="20"/>
      <w:szCs w:val="20"/>
    </w:rPr>
  </w:style>
  <w:style w:type="paragraph" w:styleId="TOC8">
    <w:name w:val="toc 8"/>
    <w:basedOn w:val="Normal"/>
    <w:next w:val="Normal"/>
    <w:autoRedefine/>
    <w:uiPriority w:val="39"/>
    <w:semiHidden/>
    <w:unhideWhenUsed/>
    <w:rsid w:val="00061DE5"/>
    <w:pPr>
      <w:ind w:left="1680"/>
    </w:pPr>
    <w:rPr>
      <w:rFonts w:cstheme="minorHAnsi"/>
      <w:sz w:val="20"/>
      <w:szCs w:val="20"/>
    </w:rPr>
  </w:style>
  <w:style w:type="paragraph" w:styleId="TOC9">
    <w:name w:val="toc 9"/>
    <w:basedOn w:val="Normal"/>
    <w:next w:val="Normal"/>
    <w:autoRedefine/>
    <w:uiPriority w:val="39"/>
    <w:semiHidden/>
    <w:unhideWhenUsed/>
    <w:rsid w:val="00061DE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3925">
      <w:bodyDiv w:val="1"/>
      <w:marLeft w:val="0"/>
      <w:marRight w:val="0"/>
      <w:marTop w:val="0"/>
      <w:marBottom w:val="0"/>
      <w:divBdr>
        <w:top w:val="none" w:sz="0" w:space="0" w:color="auto"/>
        <w:left w:val="none" w:sz="0" w:space="0" w:color="auto"/>
        <w:bottom w:val="none" w:sz="0" w:space="0" w:color="auto"/>
        <w:right w:val="none" w:sz="0" w:space="0" w:color="auto"/>
      </w:divBdr>
    </w:div>
    <w:div w:id="1040210038">
      <w:bodyDiv w:val="1"/>
      <w:marLeft w:val="0"/>
      <w:marRight w:val="0"/>
      <w:marTop w:val="0"/>
      <w:marBottom w:val="0"/>
      <w:divBdr>
        <w:top w:val="none" w:sz="0" w:space="0" w:color="auto"/>
        <w:left w:val="none" w:sz="0" w:space="0" w:color="auto"/>
        <w:bottom w:val="none" w:sz="0" w:space="0" w:color="auto"/>
        <w:right w:val="none" w:sz="0" w:space="0" w:color="auto"/>
      </w:divBdr>
    </w:div>
    <w:div w:id="1206797661">
      <w:bodyDiv w:val="1"/>
      <w:marLeft w:val="0"/>
      <w:marRight w:val="0"/>
      <w:marTop w:val="0"/>
      <w:marBottom w:val="0"/>
      <w:divBdr>
        <w:top w:val="none" w:sz="0" w:space="0" w:color="auto"/>
        <w:left w:val="none" w:sz="0" w:space="0" w:color="auto"/>
        <w:bottom w:val="none" w:sz="0" w:space="0" w:color="auto"/>
        <w:right w:val="none" w:sz="0" w:space="0" w:color="auto"/>
      </w:divBdr>
      <w:divsChild>
        <w:div w:id="409083406">
          <w:marLeft w:val="0"/>
          <w:marRight w:val="0"/>
          <w:marTop w:val="0"/>
          <w:marBottom w:val="0"/>
          <w:divBdr>
            <w:top w:val="none" w:sz="0" w:space="0" w:color="auto"/>
            <w:left w:val="none" w:sz="0" w:space="0" w:color="auto"/>
            <w:bottom w:val="none" w:sz="0" w:space="0" w:color="auto"/>
            <w:right w:val="none" w:sz="0" w:space="0" w:color="auto"/>
          </w:divBdr>
          <w:divsChild>
            <w:div w:id="1339691847">
              <w:marLeft w:val="0"/>
              <w:marRight w:val="0"/>
              <w:marTop w:val="0"/>
              <w:marBottom w:val="0"/>
              <w:divBdr>
                <w:top w:val="none" w:sz="0" w:space="0" w:color="auto"/>
                <w:left w:val="none" w:sz="0" w:space="0" w:color="auto"/>
                <w:bottom w:val="none" w:sz="0" w:space="0" w:color="auto"/>
                <w:right w:val="none" w:sz="0" w:space="0" w:color="auto"/>
              </w:divBdr>
              <w:divsChild>
                <w:div w:id="1311859397">
                  <w:marLeft w:val="0"/>
                  <w:marRight w:val="0"/>
                  <w:marTop w:val="0"/>
                  <w:marBottom w:val="0"/>
                  <w:divBdr>
                    <w:top w:val="none" w:sz="0" w:space="0" w:color="auto"/>
                    <w:left w:val="none" w:sz="0" w:space="0" w:color="auto"/>
                    <w:bottom w:val="none" w:sz="0" w:space="0" w:color="auto"/>
                    <w:right w:val="none" w:sz="0" w:space="0" w:color="auto"/>
                  </w:divBdr>
                </w:div>
              </w:divsChild>
            </w:div>
            <w:div w:id="85469988">
              <w:marLeft w:val="0"/>
              <w:marRight w:val="0"/>
              <w:marTop w:val="0"/>
              <w:marBottom w:val="0"/>
              <w:divBdr>
                <w:top w:val="none" w:sz="0" w:space="0" w:color="auto"/>
                <w:left w:val="none" w:sz="0" w:space="0" w:color="auto"/>
                <w:bottom w:val="none" w:sz="0" w:space="0" w:color="auto"/>
                <w:right w:val="none" w:sz="0" w:space="0" w:color="auto"/>
              </w:divBdr>
              <w:divsChild>
                <w:div w:id="3492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6611">
          <w:marLeft w:val="0"/>
          <w:marRight w:val="0"/>
          <w:marTop w:val="0"/>
          <w:marBottom w:val="0"/>
          <w:divBdr>
            <w:top w:val="none" w:sz="0" w:space="0" w:color="auto"/>
            <w:left w:val="none" w:sz="0" w:space="0" w:color="auto"/>
            <w:bottom w:val="none" w:sz="0" w:space="0" w:color="auto"/>
            <w:right w:val="none" w:sz="0" w:space="0" w:color="auto"/>
          </w:divBdr>
          <w:divsChild>
            <w:div w:id="181018916">
              <w:marLeft w:val="0"/>
              <w:marRight w:val="0"/>
              <w:marTop w:val="0"/>
              <w:marBottom w:val="0"/>
              <w:divBdr>
                <w:top w:val="none" w:sz="0" w:space="0" w:color="auto"/>
                <w:left w:val="none" w:sz="0" w:space="0" w:color="auto"/>
                <w:bottom w:val="none" w:sz="0" w:space="0" w:color="auto"/>
                <w:right w:val="none" w:sz="0" w:space="0" w:color="auto"/>
              </w:divBdr>
              <w:divsChild>
                <w:div w:id="11904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story-uk.ac.uk/2022/03/03/inclusive-pedagogies-during-the-pandemic-can-equality-diversity-and-inclusion-policy-keep-up/" TargetMode="External"/><Relationship Id="rId18" Type="http://schemas.openxmlformats.org/officeDocument/2006/relationships/hyperlink" Target="https://www.advance-he.ac.uk/knowledge-hub/disabled-students-commission-annual-report-2020-2021-enhancing-disabled-stud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3.eu-west-2.amazonaws.com/assets.creode.advancehe-document-manager/documents/hea/private/inclusivelearningandteaching_finalreport_1568036778.pdf" TargetMode="External"/><Relationship Id="rId7" Type="http://schemas.openxmlformats.org/officeDocument/2006/relationships/endnotes" Target="endnotes.xml"/><Relationship Id="rId12" Type="http://schemas.openxmlformats.org/officeDocument/2006/relationships/hyperlink" Target="https://www.history-uk.ac.uk/the-pandemic-pedagogy-handbook/" TargetMode="External"/><Relationship Id="rId17" Type="http://schemas.openxmlformats.org/officeDocument/2006/relationships/hyperlink" Target="https://www.officeforstudents.org.uk/advice-and-guidance/promoting-equal-opportunities/effective-practice/disabled-stud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onkhe.com/blogs/integrating-equality-diversity-and-inclusion-throughout-education-is-a-challenge-we-all-share/" TargetMode="External"/><Relationship Id="rId20" Type="http://schemas.openxmlformats.org/officeDocument/2006/relationships/hyperlink" Target="https://docs.google.com/document/d/1mZCkUhywCFq55NocZnUuEgLd57VrZKpv_4gB29ifep0/e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yalhistsoc.org/publications/rhs-reports/" TargetMode="External"/><Relationship Id="rId24" Type="http://schemas.openxmlformats.org/officeDocument/2006/relationships/hyperlink" Target="https://www.qaa.ac.uk/the-quality-code/subject-benchmark-statements/history" TargetMode="External"/><Relationship Id="rId5" Type="http://schemas.openxmlformats.org/officeDocument/2006/relationships/webSettings" Target="webSettings.xml"/><Relationship Id="rId15" Type="http://schemas.openxmlformats.org/officeDocument/2006/relationships/hyperlink" Target="https://www.unitegroup.com/wp-content/uploads/2022/02/Living-Black-at-University-Report_FINAL.pdf" TargetMode="External"/><Relationship Id="rId23" Type="http://schemas.openxmlformats.org/officeDocument/2006/relationships/hyperlink" Target="https://www.history-uk.ac.uk/the-pandemic-pedagogy-handbook/" TargetMode="External"/><Relationship Id="rId28" Type="http://schemas.openxmlformats.org/officeDocument/2006/relationships/fontTable" Target="fontTable.xml"/><Relationship Id="rId10" Type="http://schemas.openxmlformats.org/officeDocument/2006/relationships/hyperlink" Target="https://eastmidlandscentreforhistorylearningandteaching.education/" TargetMode="External"/><Relationship Id="rId19" Type="http://schemas.openxmlformats.org/officeDocument/2006/relationships/hyperlink" Target="https://advance-he.ac.uk/knowledge-hub/student-academic-experience-survey-2023?_ga=2.184801454.641711781.1687447310-1541877507.1687075775" TargetMode="External"/><Relationship Id="rId4" Type="http://schemas.openxmlformats.org/officeDocument/2006/relationships/settings" Target="settings.xml"/><Relationship Id="rId9" Type="http://schemas.openxmlformats.org/officeDocument/2006/relationships/hyperlink" Target="https://www.history-uk.ac.uk/the-pandemic-pedagogy-handbook/" TargetMode="External"/><Relationship Id="rId14" Type="http://schemas.openxmlformats.org/officeDocument/2006/relationships/hyperlink" Target="https://www.officeforstudents.org.uk/media/e7b7531f-f61b-4641-9952-8d38ff12a321/ofs-insight-brief-11-updated-10-may-2022.pdf" TargetMode="External"/><Relationship Id="rId22" Type="http://schemas.openxmlformats.org/officeDocument/2006/relationships/hyperlink" Target="https://www.qaa.ac.uk/the-quality-code/subject-benchmark-statements/history"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officeforstudents.org.uk/news-blog-and-events/press-and-media/care-leavers-more-likely-to-drop-out-of-university/" TargetMode="External"/><Relationship Id="rId21" Type="http://schemas.openxmlformats.org/officeDocument/2006/relationships/hyperlink" Target="https://www.stonewall.org.uk/system/files/lgbt_in_britain_universities_report.pdf" TargetMode="External"/><Relationship Id="rId42" Type="http://schemas.openxmlformats.org/officeDocument/2006/relationships/hyperlink" Target="https://www.advance-he.ac.uk/knowledge-hub/disabled-students-commission-annual-report-2020-2021-enhancing-disabled-student" TargetMode="External"/><Relationship Id="rId47" Type="http://schemas.openxmlformats.org/officeDocument/2006/relationships/hyperlink" Target="https://journals.gre.ac.uk/index.php/compass/article/view/1034/pdf" TargetMode="External"/><Relationship Id="rId63" Type="http://schemas.openxmlformats.org/officeDocument/2006/relationships/hyperlink" Target="https://researchbriefings.files.parliament.uk/documents/SN00916/SN00916.pdf" TargetMode="External"/><Relationship Id="rId68" Type="http://schemas.openxmlformats.org/officeDocument/2006/relationships/hyperlink" Target="https://www.gov.uk/government/publications/inclusive-teaching-and-learning-in-higher-education" TargetMode="External"/><Relationship Id="rId84" Type="http://schemas.openxmlformats.org/officeDocument/2006/relationships/hyperlink" Target="https://wonkhe.com/wp-content/wonkhe-uploads/2022/02/Belonging-and-inclusion-survey-Wonkhe-Pearson-Feb-22.pdf" TargetMode="External"/><Relationship Id="rId89" Type="http://schemas.openxmlformats.org/officeDocument/2006/relationships/hyperlink" Target="https://www.proquest.com/docview/1651860196" TargetMode="External"/><Relationship Id="rId16" Type="http://schemas.openxmlformats.org/officeDocument/2006/relationships/hyperlink" Target="https://www.theguardian.com/world/2023/apr/09/britain-not-close-to-being-a-racially-just-society-finds-two-year-research-project" TargetMode="External"/><Relationship Id="rId11" Type="http://schemas.openxmlformats.org/officeDocument/2006/relationships/hyperlink" Target="https://www.officeforstudents.org.uk/advice-and-guidance/promoting-equal-opportunities/effective-practice/black-asian-and-minority-ethnic-students/" TargetMode="External"/><Relationship Id="rId32" Type="http://schemas.openxmlformats.org/officeDocument/2006/relationships/hyperlink" Target="https://doi.org/10.1007/s10734-013-9668-y" TargetMode="External"/><Relationship Id="rId37" Type="http://schemas.openxmlformats.org/officeDocument/2006/relationships/hyperlink" Target="https://webarchive.nationalarchives.gov.uk/ukgwa/20180319130312/http://www.hefce.ac.uk/funding/finsustain/pubs/Sustainability,of,Learning,and,Teaching,2015/" TargetMode="External"/><Relationship Id="rId53" Type="http://schemas.openxmlformats.org/officeDocument/2006/relationships/hyperlink" Target="https://www.officeforstudents.org.uk/news-blog-and-events/press-and-media/digital-poverty-risks-leaving-students-behind/" TargetMode="External"/><Relationship Id="rId58" Type="http://schemas.openxmlformats.org/officeDocument/2006/relationships/hyperlink" Target="https://advance-he.ac.uk/knowledge-hub/exploring-impact-covid-19-disabled-students-experiences" TargetMode="External"/><Relationship Id="rId74" Type="http://schemas.openxmlformats.org/officeDocument/2006/relationships/hyperlink" Target="https://www.chronicle.com/article/academe-has-a-lot-to-learn-about-how-inclusive-teaching-affects-instructors" TargetMode="External"/><Relationship Id="rId79" Type="http://schemas.openxmlformats.org/officeDocument/2006/relationships/hyperlink" Target="https://www.advance-he.ac.uk/teaching-and-learning/student-needs-framework" TargetMode="External"/><Relationship Id="rId5" Type="http://schemas.openxmlformats.org/officeDocument/2006/relationships/hyperlink" Target="https://wellcome.org/reports/what-researchers-think-about-research-culture" TargetMode="External"/><Relationship Id="rId90" Type="http://schemas.openxmlformats.org/officeDocument/2006/relationships/hyperlink" Target="https://studentsuccessjournal.org/article/view/2264" TargetMode="External"/><Relationship Id="rId95" Type="http://schemas.openxmlformats.org/officeDocument/2006/relationships/hyperlink" Target="https://wonkhe.com/blogs/belonging-inclusion-and-mental-health-are-all-connected/" TargetMode="External"/><Relationship Id="rId22" Type="http://schemas.openxmlformats.org/officeDocument/2006/relationships/hyperlink" Target="https://www.ucu.org.uk/media/11495/Challenging-LGBT-exclusion-in-UK-higher-education/pdf/LGBT__exclusion_May2021.pdf" TargetMode="External"/><Relationship Id="rId27" Type="http://schemas.openxmlformats.org/officeDocument/2006/relationships/hyperlink" Target="https://www.officeforstudents.org.uk/advice-and-guidance/promoting-equal-opportunities/effective-practice/black-asian-and-minority-ethnic-students/" TargetMode="External"/><Relationship Id="rId43" Type="http://schemas.openxmlformats.org/officeDocument/2006/relationships/hyperlink" Target="https://wonkhe.com/blogs/we-lack-evidence-on-what-works-for-closing-disabled-students-equality-gaps/" TargetMode="External"/><Relationship Id="rId48" Type="http://schemas.openxmlformats.org/officeDocument/2006/relationships/hyperlink" Target="https://www.history-uk.ac.uk/2022/03/03/inclusive-pedagogies-during-the-pandemic-can-equality-diversity-and-inclusion-policy-keep-up/" TargetMode="External"/><Relationship Id="rId64" Type="http://schemas.openxmlformats.org/officeDocument/2006/relationships/hyperlink" Target="https://ifs.org.uk/publications/15940" TargetMode="External"/><Relationship Id="rId69" Type="http://schemas.openxmlformats.org/officeDocument/2006/relationships/hyperlink" Target="https://www.ucl.ac.uk/teaching-learning/sites/teaching-learning/files/ucl_inclusive_curriculum_healthcheck_2018.pdf" TargetMode="External"/><Relationship Id="rId8" Type="http://schemas.openxmlformats.org/officeDocument/2006/relationships/hyperlink" Target="https://www.advance-he.ac.uk/guidance/governance/governance-and-edi/edi-challenges-higher-education/student-inequalities" TargetMode="External"/><Relationship Id="rId51" Type="http://schemas.openxmlformats.org/officeDocument/2006/relationships/hyperlink" Target="https://www.ons.gov.uk/peoplepopulationandcommunity/healthandsocialcare/healthandwellbeing/bulletins/coronavirusandfirstyearhighereducationstudentsengland/4octoberto11october2021" TargetMode="External"/><Relationship Id="rId72" Type="http://schemas.openxmlformats.org/officeDocument/2006/relationships/hyperlink" Target="https://blacklivesmatter.com/herstory/" TargetMode="External"/><Relationship Id="rId80" Type="http://schemas.openxmlformats.org/officeDocument/2006/relationships/hyperlink" Target="https://www.tandfonline.com/doi/full/10.1080/0309877X.2017.1377164" TargetMode="External"/><Relationship Id="rId85" Type="http://schemas.openxmlformats.org/officeDocument/2006/relationships/hyperlink" Target="https://doi.org/https:/doi.org/10.1007/s11162-019-09570-y" TargetMode="External"/><Relationship Id="rId93" Type="http://schemas.openxmlformats.org/officeDocument/2006/relationships/hyperlink" Target="https://doi.org/10.1080/09639284.2022.2134732" TargetMode="External"/><Relationship Id="rId3" Type="http://schemas.openxmlformats.org/officeDocument/2006/relationships/hyperlink" Target="https://www.advance-he.ac.uk/guidance/governance/governance-and-edi/edi-challenges-higher-education/staff-inequalities" TargetMode="External"/><Relationship Id="rId12" Type="http://schemas.openxmlformats.org/officeDocument/2006/relationships/hyperlink" Target="https://www.officeforstudents.org.uk/media/e7b7531f-f61b-4641-9952-8d38ff12a321/ofs-insight-brief-11-updated-10-may-2022.pdf" TargetMode="External"/><Relationship Id="rId17" Type="http://schemas.openxmlformats.org/officeDocument/2006/relationships/hyperlink" Target="https://wonkhe.com/blogs/its-time-to-assure-students-about-safety-on-campus/" TargetMode="External"/><Relationship Id="rId25" Type="http://schemas.openxmlformats.org/officeDocument/2006/relationships/hyperlink" Target="https://www.officeforstudents.org.uk/media/3948d9a3-84b5-409b-8b11-760a9e94c997/differences_in_student_outcomes_further_characteristics_november_2020.pdf" TargetMode="External"/><Relationship Id="rId33" Type="http://schemas.openxmlformats.org/officeDocument/2006/relationships/hyperlink" Target="https://doi.org/10.1080/0729436052000318569" TargetMode="External"/><Relationship Id="rId38" Type="http://schemas.openxmlformats.org/officeDocument/2006/relationships/hyperlink" Target="https://durham-repository.worktribe.com/output/1634263/inside-uk-universities-staff-mental-health-and-wellbeing-during-the-coronavirus-pandemic" TargetMode="External"/><Relationship Id="rId46" Type="http://schemas.openxmlformats.org/officeDocument/2006/relationships/hyperlink" Target="https://www.open.ac.uk/blogs/opentel/guidance-designing-learning-for-autistic-and-neurodiverse-students/" TargetMode="External"/><Relationship Id="rId59" Type="http://schemas.openxmlformats.org/officeDocument/2006/relationships/hyperlink" Target="https://advance-he.ac.uk/knowledge-hub/exploring-impact-covid-19-disabled-students-experiences-depth-qualitative-report" TargetMode="External"/><Relationship Id="rId67" Type="http://schemas.openxmlformats.org/officeDocument/2006/relationships/hyperlink" Target="https://www.advance-he.ac.uk/knowledge-hub/inclusive-learning-and-teaching-higher-education" TargetMode="External"/><Relationship Id="rId20" Type="http://schemas.openxmlformats.org/officeDocument/2006/relationships/hyperlink" Target="https://www.trans.ac.uk/Research/Recommendations/tabid/7223/Default.aspx" TargetMode="External"/><Relationship Id="rId41" Type="http://schemas.openxmlformats.org/officeDocument/2006/relationships/hyperlink" Target="https://www.officeforstudents.org.uk/advice-and-guidance/promoting-equal-opportunities/effective-practice/disabled-students/" TargetMode="External"/><Relationship Id="rId54" Type="http://schemas.openxmlformats.org/officeDocument/2006/relationships/hyperlink" Target="https://www.theguardian.com/society/2022/mar/05/covid-pandemic-sparks-steep-rise-in-number-of-people-in-uk-with-long-term-illness" TargetMode="External"/><Relationship Id="rId62" Type="http://schemas.openxmlformats.org/officeDocument/2006/relationships/hyperlink" Target="https://www.unipol.org.uk/acsreport2021" TargetMode="External"/><Relationship Id="rId70" Type="http://schemas.openxmlformats.org/officeDocument/2006/relationships/hyperlink" Target="https://www.advance-he.ac.uk/knowledge-hub/inclusive-learning-and-teaching-higher-education" TargetMode="External"/><Relationship Id="rId75" Type="http://schemas.openxmlformats.org/officeDocument/2006/relationships/hyperlink" Target="https://wonkhe.com/blogs/what-does-inclusive-education-look-like-at-a-subject-level/" TargetMode="External"/><Relationship Id="rId83" Type="http://schemas.openxmlformats.org/officeDocument/2006/relationships/hyperlink" Target="https://wonkhe.com/blogs/belonging-inclusion-and-mental-health-are-all-connected/" TargetMode="External"/><Relationship Id="rId88" Type="http://schemas.openxmlformats.org/officeDocument/2006/relationships/hyperlink" Target="https://doi.org/10.1080/03075079.2018.1564902" TargetMode="External"/><Relationship Id="rId91" Type="http://schemas.openxmlformats.org/officeDocument/2006/relationships/hyperlink" Target="https://www.tandfonline.com/doi/full/10.1080/0309877X.2018.1490702" TargetMode="External"/><Relationship Id="rId96" Type="http://schemas.openxmlformats.org/officeDocument/2006/relationships/hyperlink" Target="https://shuddhashar.com/teaching-transgender-studies-in-turbulent-times/" TargetMode="External"/><Relationship Id="rId1" Type="http://schemas.openxmlformats.org/officeDocument/2006/relationships/hyperlink" Target="https://www.history-uk.ac.uk/post-pandemic-pedagogy/" TargetMode="External"/><Relationship Id="rId6" Type="http://schemas.openxmlformats.org/officeDocument/2006/relationships/hyperlink" Target="https://www.ucu.org.uk/media/10336/Counting-the-costs-of-casualisation-in-higher-education-Jun-19/pdf/ucu_casualisation_in_HE_survey_report_Jun19.pdf" TargetMode="External"/><Relationship Id="rId15" Type="http://schemas.openxmlformats.org/officeDocument/2006/relationships/hyperlink" Target="https://www.unitegroup.com/wp-content/uploads/2022/02/Living-Black-at-University-Report_FINAL.pdf" TargetMode="External"/><Relationship Id="rId23" Type="http://schemas.openxmlformats.org/officeDocument/2006/relationships/hyperlink" Target="https://www.timeshighereducation.com/campus/do-we-need-equity-or-equality-make-things-fair-actually-we-need-both" TargetMode="External"/><Relationship Id="rId28" Type="http://schemas.openxmlformats.org/officeDocument/2006/relationships/hyperlink" Target="https://www.officeforstudents.org.uk/advice-and-guidance/promoting-equal-opportunities/access-and-participation-plans/" TargetMode="External"/><Relationship Id="rId36" Type="http://schemas.openxmlformats.org/officeDocument/2006/relationships/hyperlink" Target="https://wonkhe.com/blogs/a-beginners-guide-to-academic-workload-modelling/" TargetMode="External"/><Relationship Id="rId49" Type="http://schemas.openxmlformats.org/officeDocument/2006/relationships/hyperlink" Target="https://www.nusconnect.org.uk/resources/covid-19-and-students-survey-report" TargetMode="External"/><Relationship Id="rId57" Type="http://schemas.openxmlformats.org/officeDocument/2006/relationships/hyperlink" Target="https://senedd.wales/media/mdzljae3/cr-ld15768-e.pdf" TargetMode="External"/><Relationship Id="rId10" Type="http://schemas.openxmlformats.org/officeDocument/2006/relationships/hyperlink" Target="https://www.officeforstudents.org.uk/news-blog-and-events/press-and-media/care-leavers-more-likely-to-drop-out-of-university/" TargetMode="External"/><Relationship Id="rId31" Type="http://schemas.openxmlformats.org/officeDocument/2006/relationships/hyperlink" Target="https://www.timeshighereducation.com/blog/recruiting-more-black-phd-students-isnt-so-hard-if-you-really-want-do-it" TargetMode="External"/><Relationship Id="rId44" Type="http://schemas.openxmlformats.org/officeDocument/2006/relationships/hyperlink" Target="https://wonkhe.com/blogs/disabled-phd-students-can-be-better-supported/" TargetMode="External"/><Relationship Id="rId52" Type="http://schemas.openxmlformats.org/officeDocument/2006/relationships/hyperlink" Target="https://psyarxiv.com/23axu/" TargetMode="External"/><Relationship Id="rId60" Type="http://schemas.openxmlformats.org/officeDocument/2006/relationships/hyperlink" Target="https://assets.publishing.service.gov.uk/government/uploads/system/uploads/attachment_data/file/1063488/Understanding_Progress_in_the_2020_to_2021_Academic_Year_Extension_report_covering_the_first_half_of_the_autumn_term_2021.pdf" TargetMode="External"/><Relationship Id="rId65" Type="http://schemas.openxmlformats.org/officeDocument/2006/relationships/hyperlink" Target="https://www.nus-scotland.org.uk/alarming-research-on-student-poverty" TargetMode="External"/><Relationship Id="rId73" Type="http://schemas.openxmlformats.org/officeDocument/2006/relationships/hyperlink" Target="https://halpinpartnership.com/wp-content/uploads/2021/09/Halpin-Report-UK-Universities-Response-to-Black-Lives-Matter.pdf" TargetMode="External"/><Relationship Id="rId78" Type="http://schemas.openxmlformats.org/officeDocument/2006/relationships/hyperlink" Target="https://advance-he.ac.uk/news-and-views/seeing-wood-through-trees-redesigning-student-support" TargetMode="External"/><Relationship Id="rId81" Type="http://schemas.openxmlformats.org/officeDocument/2006/relationships/hyperlink" Target="https://doi.org/10.1080/0309877X.2018.1536258" TargetMode="External"/><Relationship Id="rId86" Type="http://schemas.openxmlformats.org/officeDocument/2006/relationships/hyperlink" Target="https://doi.org/10.1007/s11162-019-09570-y" TargetMode="External"/><Relationship Id="rId94" Type="http://schemas.openxmlformats.org/officeDocument/2006/relationships/hyperlink" Target="https://journals.sfu.ca/cjhe/index.php/cjhe/article/view/189851" TargetMode="External"/><Relationship Id="rId4" Type="http://schemas.openxmlformats.org/officeDocument/2006/relationships/hyperlink" Target="https://www.hepi.ac.uk/2020/03/07/mind-the-gap-gender-differences-in-higher-education/" TargetMode="External"/><Relationship Id="rId9" Type="http://schemas.openxmlformats.org/officeDocument/2006/relationships/hyperlink" Target="https://www.officeforstudents.org.uk/media/3948d9a3-84b5-409b-8b11-760a9e94c997/differences_in_student_outcomes_further_characteristics_november_2020.pdf" TargetMode="External"/><Relationship Id="rId13" Type="http://schemas.openxmlformats.org/officeDocument/2006/relationships/hyperlink" Target="https://www.officeforstudents.org.uk/advice-and-guidance/promoting-equal-opportunities/effective-practice/local-and-commuter-students/" TargetMode="External"/><Relationship Id="rId18" Type="http://schemas.openxmlformats.org/officeDocument/2006/relationships/hyperlink" Target="https://www.advance-he.ac.uk/knowledge-hub/trans-staff-and-students-he-and-colleges-improving-experiences" TargetMode="External"/><Relationship Id="rId39" Type="http://schemas.openxmlformats.org/officeDocument/2006/relationships/hyperlink" Target="https://www.educationsupport.org.uk/media/x4jdvxpl/es-supporting-staff-wellbeing-in-he-report.pdf" TargetMode="External"/><Relationship Id="rId34" Type="http://schemas.openxmlformats.org/officeDocument/2006/relationships/hyperlink" Target="https://doi.org/10.3366/soma.2014.0129" TargetMode="External"/><Relationship Id="rId50" Type="http://schemas.openxmlformats.org/officeDocument/2006/relationships/hyperlink" Target="https://www.officeforstudents.org.uk/data-and-analysis/student-characteristics-data/" TargetMode="External"/><Relationship Id="rId55" Type="http://schemas.openxmlformats.org/officeDocument/2006/relationships/hyperlink" Target="https://wonkhe.com/blogs/how-should-universities-support-students-with-long-covid/" TargetMode="External"/><Relationship Id="rId76" Type="http://schemas.openxmlformats.org/officeDocument/2006/relationships/hyperlink" Target="https://commonslibrary.parliament.uk/research-briefings/cbp-8593/" TargetMode="External"/><Relationship Id="rId7" Type="http://schemas.openxmlformats.org/officeDocument/2006/relationships/hyperlink" Target="https://www.ucu.org.uk/media/10899/Precarious-work-in-higher-education-May-20/pdf/ucu_he-precarity-report_may20.pdf" TargetMode="External"/><Relationship Id="rId71" Type="http://schemas.openxmlformats.org/officeDocument/2006/relationships/hyperlink" Target="https://www.youtube.com/watch?app=desktop&amp;v=Dscx4h2l-Pk" TargetMode="External"/><Relationship Id="rId92" Type="http://schemas.openxmlformats.org/officeDocument/2006/relationships/hyperlink" Target="https://www.phf.org.uk/wp-content/uploads/2014/10/What-Works-Summary-report.pdf" TargetMode="External"/><Relationship Id="rId2" Type="http://schemas.openxmlformats.org/officeDocument/2006/relationships/hyperlink" Target="https://www.ucu.org.uk/article/11678/UCU-condemns-biggest-attack-on-arts-in-living-memory-announced-by-Office-for-Students" TargetMode="External"/><Relationship Id="rId29" Type="http://schemas.openxmlformats.org/officeDocument/2006/relationships/hyperlink" Target="https://thedisorderofthings.com/2014/07/28/black-academia-in-britain/" TargetMode="External"/><Relationship Id="rId24" Type="http://schemas.openxmlformats.org/officeDocument/2006/relationships/hyperlink" Target="https://www.advance-he.ac.uk/guidance/governance/governance-and-edi/edi-challenges-higher-education/student-inequalities" TargetMode="External"/><Relationship Id="rId40" Type="http://schemas.openxmlformats.org/officeDocument/2006/relationships/hyperlink" Target="https://www.timeshighereducation.com/campus/there-are-so-many-reasons-why-edi-not-answer" TargetMode="External"/><Relationship Id="rId45" Type="http://schemas.openxmlformats.org/officeDocument/2006/relationships/hyperlink" Target="https://disabledstudents.co.uk/wp-content/uploads/2023/10/Improving-the-Experience-of-Disabled-PhD-Students-in-STEM-small-print.pdf" TargetMode="External"/><Relationship Id="rId66" Type="http://schemas.openxmlformats.org/officeDocument/2006/relationships/hyperlink" Target="https://docs.google.com/document/d/1mZCkUhywCFq55NocZnUuEgLd57VrZKpv_4gB29ifep0/edit" TargetMode="External"/><Relationship Id="rId87" Type="http://schemas.openxmlformats.org/officeDocument/2006/relationships/hyperlink" Target="https://wonkhe.com/blogs/spaces-and-places-matter-for-student-outcomes/" TargetMode="External"/><Relationship Id="rId61" Type="http://schemas.openxmlformats.org/officeDocument/2006/relationships/hyperlink" Target="https://www.theguardian.com/education/2022/jul/21/homeless-students-uk-cost-of-living-crisis" TargetMode="External"/><Relationship Id="rId82" Type="http://schemas.openxmlformats.org/officeDocument/2006/relationships/hyperlink" Target="https://doi.org/10.1080/0309877X.2023.2191176" TargetMode="External"/><Relationship Id="rId19" Type="http://schemas.openxmlformats.org/officeDocument/2006/relationships/hyperlink" Target="https://www.trans.ac.uk/Portals/88/TransEdu-Scotland-Report-2017.pdf?ver=2017-10-31-142716-560" TargetMode="External"/><Relationship Id="rId14" Type="http://schemas.openxmlformats.org/officeDocument/2006/relationships/hyperlink" Target="https://www.theguardian.com/education/2018/dec/13/students-who-commute-to-university-are-getting-a-raw-deal" TargetMode="External"/><Relationship Id="rId30" Type="http://schemas.openxmlformats.org/officeDocument/2006/relationships/hyperlink" Target="https://www.ucu.org.uk/media/8633/BME-doctoral-students-perceptions-of-an-academic-career/pdf/JA_BME_doc_students_report_Jun17.pdf" TargetMode="External"/><Relationship Id="rId35" Type="http://schemas.openxmlformats.org/officeDocument/2006/relationships/hyperlink" Target="https://www.ucu.org.uk/media/5911/Higher-stress-a-survey-of-stress-and-well-beingamong-staff-in-higher-education-Jul-13/pdf/HE_stress_report_July_2013.pdf" TargetMode="External"/><Relationship Id="rId56" Type="http://schemas.openxmlformats.org/officeDocument/2006/relationships/hyperlink" Target="https://www.ons.gov.uk/peoplepopulationandcommunity/healthandsocialcare/conditionsanddiseases/bulletins/prevalenceofongoingsymptomsfollowingcoronaviruscovid19infectionintheuk/4august2022" TargetMode="External"/><Relationship Id="rId77" Type="http://schemas.openxmlformats.org/officeDocument/2006/relationships/hyperlink" Target="https://www.studentminds.org.uk/lifeinapandemi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68C1-F71B-694B-BEC8-6CB130FA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12035</Words>
  <Characters>68600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Holland (staff)</dc:creator>
  <cp:keywords/>
  <dc:description/>
  <cp:lastModifiedBy>Sarah Holland (staff)</cp:lastModifiedBy>
  <cp:revision>4</cp:revision>
  <dcterms:created xsi:type="dcterms:W3CDTF">2023-12-06T13:15:00Z</dcterms:created>
  <dcterms:modified xsi:type="dcterms:W3CDTF">2023-12-06T13:37:00Z</dcterms:modified>
</cp:coreProperties>
</file>